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63" w:tblpY="2"/>
        <w:tblW w:w="0" w:type="auto"/>
        <w:tblLook w:val="04A0" w:firstRow="1" w:lastRow="0" w:firstColumn="1" w:lastColumn="0" w:noHBand="0" w:noVBand="1"/>
      </w:tblPr>
      <w:tblGrid>
        <w:gridCol w:w="4456"/>
        <w:gridCol w:w="1403"/>
        <w:gridCol w:w="3782"/>
      </w:tblGrid>
      <w:tr w:rsidR="00D918FF" w:rsidRPr="00397299" w14:paraId="116A7D9F" w14:textId="77777777" w:rsidTr="008207BB">
        <w:tc>
          <w:tcPr>
            <w:tcW w:w="4456" w:type="dxa"/>
            <w:tcBorders>
              <w:bottom w:val="single" w:sz="4" w:space="0" w:color="auto"/>
            </w:tcBorders>
          </w:tcPr>
          <w:p w14:paraId="41C47C45" w14:textId="77777777" w:rsidR="00D918FF" w:rsidRPr="00397299" w:rsidRDefault="00D918FF" w:rsidP="008207BB">
            <w:pPr>
              <w:pStyle w:val="NormalWeb"/>
              <w:spacing w:before="0" w:beforeAutospacing="0" w:after="120" w:afterAutospacing="0"/>
              <w:ind w:left="1" w:hanging="3"/>
              <w:textDirection w:val="lrTb"/>
              <w:rPr>
                <w:sz w:val="32"/>
                <w:szCs w:val="32"/>
              </w:rPr>
            </w:pPr>
            <w:r>
              <w:rPr>
                <w:noProof/>
                <w:sz w:val="32"/>
                <w:szCs w:val="32"/>
              </w:rPr>
              <w:drawing>
                <wp:inline distT="0" distB="0" distL="0" distR="0" wp14:anchorId="14688791" wp14:editId="09258824">
                  <wp:extent cx="2691765" cy="785495"/>
                  <wp:effectExtent l="0" t="0" r="635" b="1905"/>
                  <wp:docPr id="15" name="Picture 15" descr="header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ader pap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1765" cy="785495"/>
                          </a:xfrm>
                          <a:prstGeom prst="rect">
                            <a:avLst/>
                          </a:prstGeom>
                          <a:noFill/>
                          <a:ln>
                            <a:noFill/>
                          </a:ln>
                        </pic:spPr>
                      </pic:pic>
                    </a:graphicData>
                  </a:graphic>
                </wp:inline>
              </w:drawing>
            </w:r>
          </w:p>
        </w:tc>
        <w:tc>
          <w:tcPr>
            <w:tcW w:w="1467" w:type="dxa"/>
            <w:tcBorders>
              <w:bottom w:val="single" w:sz="4" w:space="0" w:color="auto"/>
            </w:tcBorders>
          </w:tcPr>
          <w:p w14:paraId="29E031BF" w14:textId="77777777" w:rsidR="00D918FF" w:rsidRPr="00397299" w:rsidRDefault="00D918FF" w:rsidP="008207BB">
            <w:pPr>
              <w:pStyle w:val="NormalWeb"/>
              <w:spacing w:before="0" w:beforeAutospacing="0" w:after="120" w:afterAutospacing="0"/>
              <w:ind w:left="1" w:hanging="3"/>
              <w:textDirection w:val="lrTb"/>
              <w:rPr>
                <w:sz w:val="32"/>
                <w:szCs w:val="32"/>
              </w:rPr>
            </w:pPr>
          </w:p>
        </w:tc>
        <w:tc>
          <w:tcPr>
            <w:tcW w:w="3934" w:type="dxa"/>
            <w:tcBorders>
              <w:bottom w:val="single" w:sz="4" w:space="0" w:color="auto"/>
            </w:tcBorders>
          </w:tcPr>
          <w:p w14:paraId="18E12C3A" w14:textId="4DF88B9F" w:rsidR="00D918FF" w:rsidRPr="00397299" w:rsidRDefault="00D918FF" w:rsidP="008207BB">
            <w:pPr>
              <w:widowControl w:val="0"/>
              <w:autoSpaceDE w:val="0"/>
              <w:autoSpaceDN w:val="0"/>
              <w:adjustRightInd w:val="0"/>
              <w:spacing w:after="240"/>
              <w:ind w:left="0" w:hanging="2"/>
              <w:contextualSpacing/>
              <w:jc w:val="right"/>
              <w:textDirection w:val="lrTb"/>
              <w:rPr>
                <w:sz w:val="24"/>
                <w:szCs w:val="24"/>
              </w:rPr>
            </w:pPr>
            <w:r>
              <w:rPr>
                <w:sz w:val="24"/>
                <w:szCs w:val="24"/>
              </w:rPr>
              <w:br/>
              <w:t>E-ISSN: 2775</w:t>
            </w:r>
            <w:r w:rsidRPr="00397299">
              <w:rPr>
                <w:sz w:val="24"/>
                <w:szCs w:val="24"/>
              </w:rPr>
              <w:t>-</w:t>
            </w:r>
            <w:r>
              <w:rPr>
                <w:sz w:val="24"/>
                <w:szCs w:val="24"/>
              </w:rPr>
              <w:t xml:space="preserve">4669 </w:t>
            </w:r>
            <w:r>
              <w:rPr>
                <w:sz w:val="24"/>
                <w:szCs w:val="24"/>
              </w:rPr>
              <w:br/>
              <w:t xml:space="preserve">Volume 6, </w:t>
            </w:r>
            <w:proofErr w:type="spellStart"/>
            <w:r>
              <w:rPr>
                <w:sz w:val="24"/>
                <w:szCs w:val="24"/>
              </w:rPr>
              <w:t>Nomor</w:t>
            </w:r>
            <w:proofErr w:type="spellEnd"/>
            <w:r>
              <w:rPr>
                <w:sz w:val="24"/>
                <w:szCs w:val="24"/>
              </w:rPr>
              <w:t xml:space="preserve"> 2, </w:t>
            </w:r>
            <w:proofErr w:type="spellStart"/>
            <w:r>
              <w:rPr>
                <w:sz w:val="24"/>
                <w:szCs w:val="24"/>
              </w:rPr>
              <w:t>Agustus</w:t>
            </w:r>
            <w:proofErr w:type="spellEnd"/>
            <w:r>
              <w:rPr>
                <w:sz w:val="24"/>
                <w:szCs w:val="24"/>
              </w:rPr>
              <w:t xml:space="preserve"> 2026</w:t>
            </w:r>
          </w:p>
        </w:tc>
      </w:tr>
    </w:tbl>
    <w:tbl>
      <w:tblPr>
        <w:tblW w:w="0" w:type="auto"/>
        <w:tblLook w:val="04A0" w:firstRow="1" w:lastRow="0" w:firstColumn="1" w:lastColumn="0" w:noHBand="0" w:noVBand="1"/>
      </w:tblPr>
      <w:tblGrid>
        <w:gridCol w:w="4456"/>
        <w:gridCol w:w="1403"/>
        <w:gridCol w:w="3782"/>
      </w:tblGrid>
      <w:tr w:rsidR="00D918FF" w:rsidRPr="000D787A" w14:paraId="72CE345F" w14:textId="77777777" w:rsidTr="008207BB">
        <w:tc>
          <w:tcPr>
            <w:tcW w:w="9641" w:type="dxa"/>
            <w:gridSpan w:val="3"/>
            <w:tcBorders>
              <w:top w:val="single" w:sz="4" w:space="0" w:color="auto"/>
            </w:tcBorders>
          </w:tcPr>
          <w:p w14:paraId="3D61FA5A" w14:textId="77777777" w:rsidR="00D918FF" w:rsidRPr="0037235D" w:rsidRDefault="00D918FF" w:rsidP="008207BB">
            <w:pPr>
              <w:pStyle w:val="NormalWeb"/>
              <w:spacing w:before="0" w:beforeAutospacing="0" w:after="120" w:afterAutospacing="0"/>
              <w:ind w:left="1" w:hanging="3"/>
              <w:jc w:val="center"/>
              <w:rPr>
                <w:rFonts w:ascii="Tahoma" w:hAnsi="Tahoma" w:cs="Tahoma"/>
                <w:b/>
                <w:sz w:val="32"/>
                <w:szCs w:val="32"/>
                <w:lang w:val="sv-SE"/>
              </w:rPr>
            </w:pPr>
            <w:r w:rsidRPr="000D787A">
              <w:rPr>
                <w:sz w:val="32"/>
                <w:szCs w:val="32"/>
                <w:lang w:val="sv-SE"/>
              </w:rPr>
              <w:br/>
            </w:r>
            <w:r w:rsidRPr="005C36F4">
              <w:rPr>
                <w:b/>
                <w:bCs/>
                <w:sz w:val="32"/>
                <w:szCs w:val="28"/>
                <w:lang w:val="sv-SE"/>
              </w:rPr>
              <w:t>Teknologi Digital Berbasis Pembelajaran Mesin Sederhana untuk Mendukung Pengambilan Keputusan Produksi Makanan yang Aman dan Efisien dalam Praktik Boga</w:t>
            </w:r>
          </w:p>
        </w:tc>
      </w:tr>
      <w:tr w:rsidR="00D918FF" w:rsidRPr="005C36F4" w14:paraId="182C4D3D" w14:textId="77777777" w:rsidTr="008207BB">
        <w:tc>
          <w:tcPr>
            <w:tcW w:w="9641" w:type="dxa"/>
            <w:gridSpan w:val="3"/>
          </w:tcPr>
          <w:p w14:paraId="68426A80" w14:textId="77777777" w:rsidR="000D787A" w:rsidRPr="000D787A" w:rsidRDefault="000D787A" w:rsidP="000D787A">
            <w:pPr>
              <w:ind w:left="0" w:hanging="2"/>
              <w:rPr>
                <w:rFonts w:asciiTheme="majorBidi" w:hAnsiTheme="majorBidi" w:cstheme="majorBidi"/>
                <w:lang w:val="sv-SE"/>
              </w:rPr>
            </w:pPr>
            <w:r w:rsidRPr="000D787A">
              <w:rPr>
                <w:rFonts w:asciiTheme="majorBidi" w:hAnsiTheme="majorBidi" w:cstheme="majorBidi"/>
                <w:b/>
                <w:lang w:val="sv-SE"/>
              </w:rPr>
              <w:t>Ifnalia Rahayu</w:t>
            </w:r>
            <w:r w:rsidRPr="000D787A">
              <w:rPr>
                <w:rFonts w:asciiTheme="majorBidi" w:hAnsiTheme="majorBidi" w:cstheme="majorBidi"/>
                <w:b/>
                <w:vertAlign w:val="superscript"/>
                <w:lang w:val="sv-SE"/>
              </w:rPr>
              <w:t>1</w:t>
            </w:r>
            <w:r w:rsidRPr="000D787A">
              <w:rPr>
                <w:rFonts w:asciiTheme="majorBidi" w:hAnsiTheme="majorBidi" w:cstheme="majorBidi"/>
                <w:b/>
                <w:lang w:val="sv-SE"/>
              </w:rPr>
              <w:t>, Wiki Lofandri</w:t>
            </w:r>
            <w:r w:rsidRPr="000D787A">
              <w:rPr>
                <w:rFonts w:asciiTheme="majorBidi" w:hAnsiTheme="majorBidi" w:cstheme="majorBidi"/>
                <w:b/>
                <w:vertAlign w:val="superscript"/>
                <w:lang w:val="sv-SE"/>
              </w:rPr>
              <w:t>2</w:t>
            </w:r>
            <w:r w:rsidRPr="000D787A">
              <w:rPr>
                <w:rFonts w:asciiTheme="majorBidi" w:hAnsiTheme="majorBidi" w:cstheme="majorBidi"/>
                <w:b/>
                <w:lang w:val="sv-SE"/>
              </w:rPr>
              <w:t>, Fauza Afni</w:t>
            </w:r>
            <w:r w:rsidRPr="000D787A">
              <w:rPr>
                <w:rFonts w:asciiTheme="majorBidi" w:hAnsiTheme="majorBidi" w:cstheme="majorBidi"/>
                <w:b/>
                <w:vertAlign w:val="superscript"/>
                <w:lang w:val="sv-SE"/>
              </w:rPr>
              <w:t>3</w:t>
            </w:r>
          </w:p>
          <w:p w14:paraId="56FC90EE" w14:textId="77777777" w:rsidR="000D787A" w:rsidRPr="00C231E6" w:rsidRDefault="000D787A" w:rsidP="000D787A">
            <w:pPr>
              <w:ind w:left="0" w:hanging="2"/>
              <w:rPr>
                <w:rFonts w:asciiTheme="majorBidi" w:hAnsiTheme="majorBidi" w:cstheme="majorBidi"/>
                <w:lang w:val="sv-SE"/>
              </w:rPr>
            </w:pPr>
            <w:r w:rsidRPr="00C231E6">
              <w:rPr>
                <w:rFonts w:asciiTheme="majorBidi" w:hAnsiTheme="majorBidi" w:cstheme="majorBidi"/>
                <w:b/>
                <w:lang w:val="sv-SE"/>
              </w:rPr>
              <w:t>Ilmu Kesejahteraan Keluarga</w:t>
            </w:r>
            <w:r w:rsidRPr="00C231E6">
              <w:rPr>
                <w:rFonts w:asciiTheme="majorBidi" w:hAnsiTheme="majorBidi" w:cstheme="majorBidi"/>
                <w:b/>
                <w:vertAlign w:val="superscript"/>
                <w:lang w:val="sv-SE"/>
              </w:rPr>
              <w:t>1</w:t>
            </w:r>
            <w:r w:rsidRPr="00C231E6">
              <w:rPr>
                <w:rFonts w:asciiTheme="majorBidi" w:hAnsiTheme="majorBidi" w:cstheme="majorBidi"/>
                <w:b/>
                <w:lang w:val="sv-SE"/>
              </w:rPr>
              <w:t>, Vokasi</w:t>
            </w:r>
            <w:r w:rsidRPr="00C231E6">
              <w:rPr>
                <w:rFonts w:asciiTheme="majorBidi" w:hAnsiTheme="majorBidi" w:cstheme="majorBidi"/>
                <w:b/>
                <w:vertAlign w:val="superscript"/>
                <w:lang w:val="sv-SE"/>
              </w:rPr>
              <w:t>2</w:t>
            </w:r>
            <w:r w:rsidRPr="00C231E6">
              <w:rPr>
                <w:rFonts w:asciiTheme="majorBidi" w:hAnsiTheme="majorBidi" w:cstheme="majorBidi"/>
                <w:b/>
                <w:lang w:val="sv-SE"/>
              </w:rPr>
              <w:t>, Pariwisata</w:t>
            </w:r>
            <w:r w:rsidRPr="00C231E6">
              <w:rPr>
                <w:rFonts w:asciiTheme="majorBidi" w:hAnsiTheme="majorBidi" w:cstheme="majorBidi"/>
                <w:b/>
                <w:vertAlign w:val="superscript"/>
                <w:lang w:val="sv-SE"/>
              </w:rPr>
              <w:t>3</w:t>
            </w:r>
          </w:p>
          <w:p w14:paraId="3250F1E6" w14:textId="77777777" w:rsidR="000D787A" w:rsidRPr="007B5495" w:rsidRDefault="000D787A" w:rsidP="000D787A">
            <w:pPr>
              <w:ind w:left="0" w:hanging="2"/>
              <w:rPr>
                <w:color w:val="000000"/>
                <w:lang w:val="sv-SE"/>
              </w:rPr>
            </w:pPr>
            <w:r>
              <w:rPr>
                <w:rFonts w:asciiTheme="majorBidi" w:hAnsiTheme="majorBidi" w:cstheme="majorBidi"/>
                <w:b/>
                <w:lang w:val="sv-SE"/>
              </w:rPr>
              <w:t>Universitas Negeri Padang</w:t>
            </w:r>
            <w:r w:rsidRPr="007B5495">
              <w:rPr>
                <w:rFonts w:asciiTheme="majorBidi" w:hAnsiTheme="majorBidi" w:cstheme="majorBidi"/>
                <w:b/>
                <w:vertAlign w:val="superscript"/>
                <w:lang w:val="sv-SE"/>
              </w:rPr>
              <w:t>12</w:t>
            </w:r>
            <w:r>
              <w:rPr>
                <w:rFonts w:asciiTheme="majorBidi" w:hAnsiTheme="majorBidi" w:cstheme="majorBidi"/>
                <w:b/>
                <w:vertAlign w:val="superscript"/>
                <w:lang w:val="sv-SE"/>
              </w:rPr>
              <w:t>3</w:t>
            </w:r>
          </w:p>
          <w:p w14:paraId="665CCC8F" w14:textId="77777777" w:rsidR="000D787A" w:rsidRPr="00F947A3" w:rsidRDefault="000D787A" w:rsidP="000D787A">
            <w:pPr>
              <w:ind w:left="0" w:hanging="2"/>
              <w:rPr>
                <w:lang w:val="sv-SE"/>
              </w:rPr>
            </w:pPr>
            <w:r w:rsidRPr="007B5495">
              <w:rPr>
                <w:color w:val="000000"/>
                <w:lang w:val="sv-SE"/>
              </w:rPr>
              <w:t>Jl. Prof. Dr. Hamka, Air Tawar, Padang, Sumatera Barat, dengan kode pos 25132</w:t>
            </w:r>
            <w:r>
              <w:rPr>
                <w:color w:val="000000"/>
                <w:lang w:val="sv-SE"/>
              </w:rPr>
              <w:t>, Kota Padang, Indonesia</w:t>
            </w:r>
          </w:p>
          <w:p w14:paraId="11207925" w14:textId="77777777" w:rsidR="000D787A" w:rsidRPr="007B5495" w:rsidRDefault="000D787A" w:rsidP="000D787A">
            <w:pPr>
              <w:pBdr>
                <w:top w:val="nil"/>
                <w:left w:val="nil"/>
                <w:bottom w:val="nil"/>
                <w:right w:val="nil"/>
                <w:between w:val="nil"/>
              </w:pBdr>
              <w:spacing w:line="240" w:lineRule="auto"/>
              <w:ind w:left="0" w:hanging="2"/>
              <w:rPr>
                <w:rFonts w:ascii="Tahoma" w:eastAsia="Tahoma" w:hAnsi="Tahoma" w:cs="Tahoma"/>
                <w:color w:val="000000"/>
                <w:sz w:val="27"/>
                <w:szCs w:val="27"/>
              </w:rPr>
            </w:pPr>
            <w:proofErr w:type="gramStart"/>
            <w:r w:rsidRPr="007B5495">
              <w:rPr>
                <w:color w:val="000000"/>
              </w:rPr>
              <w:t>Email :</w:t>
            </w:r>
            <w:proofErr w:type="gramEnd"/>
            <w:r>
              <w:rPr>
                <w:color w:val="000000"/>
              </w:rPr>
              <w:t xml:space="preserve"> ifnalia@unp.ac.id</w:t>
            </w:r>
            <w:r w:rsidRPr="007B5495">
              <w:rPr>
                <w:color w:val="000000"/>
                <w:vertAlign w:val="superscript"/>
              </w:rPr>
              <w:t>1</w:t>
            </w:r>
            <w:r w:rsidRPr="007B5495">
              <w:rPr>
                <w:color w:val="000000"/>
              </w:rPr>
              <w:t xml:space="preserve">, </w:t>
            </w:r>
            <w:r>
              <w:rPr>
                <w:color w:val="000000"/>
              </w:rPr>
              <w:t>wiloleaks@unp.ac.id</w:t>
            </w:r>
            <w:r w:rsidRPr="007B5495">
              <w:rPr>
                <w:color w:val="000000"/>
                <w:vertAlign w:val="superscript"/>
              </w:rPr>
              <w:t>2</w:t>
            </w:r>
            <w:r w:rsidRPr="007B5495">
              <w:rPr>
                <w:color w:val="000000"/>
              </w:rPr>
              <w:t xml:space="preserve">, </w:t>
            </w:r>
            <w:r>
              <w:rPr>
                <w:color w:val="000000"/>
              </w:rPr>
              <w:t>fauzaafni@fpp.unp.ac.id</w:t>
            </w:r>
            <w:r w:rsidRPr="007B5495">
              <w:rPr>
                <w:color w:val="000000"/>
                <w:vertAlign w:val="superscript"/>
              </w:rPr>
              <w:t>3</w:t>
            </w:r>
            <w:r w:rsidRPr="007B5495">
              <w:rPr>
                <w:b/>
                <w:color w:val="000000"/>
              </w:rPr>
              <w:t xml:space="preserve"> </w:t>
            </w:r>
          </w:p>
          <w:p w14:paraId="7F7DCCF2" w14:textId="2FEAC8CD" w:rsidR="00D918FF" w:rsidRPr="005C36F4" w:rsidRDefault="00D918FF" w:rsidP="008207BB">
            <w:pPr>
              <w:pStyle w:val="NormalWeb"/>
              <w:spacing w:before="0" w:beforeAutospacing="0" w:after="0" w:afterAutospacing="0"/>
              <w:ind w:left="1" w:hanging="3"/>
              <w:jc w:val="center"/>
              <w:rPr>
                <w:color w:val="FF0000"/>
                <w:sz w:val="27"/>
                <w:szCs w:val="27"/>
              </w:rPr>
            </w:pPr>
          </w:p>
        </w:tc>
      </w:tr>
      <w:tr w:rsidR="00D918FF" w:rsidRPr="005478BF" w14:paraId="16F8E826" w14:textId="77777777" w:rsidTr="008207BB">
        <w:trPr>
          <w:trHeight w:val="70"/>
        </w:trPr>
        <w:tc>
          <w:tcPr>
            <w:tcW w:w="4456" w:type="dxa"/>
            <w:tcBorders>
              <w:top w:val="single" w:sz="4" w:space="0" w:color="auto"/>
              <w:bottom w:val="single" w:sz="4" w:space="0" w:color="auto"/>
            </w:tcBorders>
          </w:tcPr>
          <w:p w14:paraId="769BD13B" w14:textId="4BDDBD24" w:rsidR="00D918FF" w:rsidRPr="005478BF" w:rsidRDefault="00D918FF" w:rsidP="008207BB">
            <w:pPr>
              <w:widowControl w:val="0"/>
              <w:autoSpaceDE w:val="0"/>
              <w:autoSpaceDN w:val="0"/>
              <w:adjustRightInd w:val="0"/>
              <w:spacing w:after="240" w:line="280" w:lineRule="atLeast"/>
              <w:ind w:left="0" w:hanging="2"/>
              <w:jc w:val="left"/>
              <w:rPr>
                <w:i/>
                <w:iCs/>
                <w:sz w:val="18"/>
              </w:rPr>
            </w:pPr>
            <w:r w:rsidRPr="005478BF">
              <w:rPr>
                <w:i/>
                <w:iCs/>
                <w:sz w:val="18"/>
              </w:rPr>
              <w:t xml:space="preserve">Received: </w:t>
            </w:r>
            <w:r w:rsidR="00754CB4" w:rsidRPr="005478BF">
              <w:rPr>
                <w:i/>
                <w:iCs/>
                <w:sz w:val="18"/>
              </w:rPr>
              <w:t>27</w:t>
            </w:r>
            <w:r w:rsidRPr="005478BF">
              <w:rPr>
                <w:i/>
                <w:iCs/>
                <w:sz w:val="18"/>
              </w:rPr>
              <w:t xml:space="preserve"> </w:t>
            </w:r>
            <w:proofErr w:type="spellStart"/>
            <w:r w:rsidR="00754CB4" w:rsidRPr="005478BF">
              <w:rPr>
                <w:i/>
                <w:iCs/>
                <w:sz w:val="18"/>
              </w:rPr>
              <w:t>Februari</w:t>
            </w:r>
            <w:proofErr w:type="spellEnd"/>
            <w:r w:rsidR="00754CB4" w:rsidRPr="005478BF">
              <w:rPr>
                <w:i/>
                <w:iCs/>
                <w:sz w:val="18"/>
              </w:rPr>
              <w:t xml:space="preserve"> </w:t>
            </w:r>
            <w:r w:rsidRPr="005478BF">
              <w:rPr>
                <w:i/>
                <w:iCs/>
                <w:sz w:val="18"/>
              </w:rPr>
              <w:t>202</w:t>
            </w:r>
            <w:r w:rsidR="00754CB4" w:rsidRPr="005478BF">
              <w:rPr>
                <w:i/>
                <w:iCs/>
                <w:sz w:val="18"/>
              </w:rPr>
              <w:t xml:space="preserve">6 </w:t>
            </w:r>
            <w:proofErr w:type="gramStart"/>
            <w:r w:rsidRPr="005478BF">
              <w:rPr>
                <w:i/>
                <w:iCs/>
                <w:sz w:val="18"/>
              </w:rPr>
              <w:t xml:space="preserve">| </w:t>
            </w:r>
            <w:r w:rsidR="00754CB4" w:rsidRPr="005478BF">
              <w:rPr>
                <w:i/>
                <w:iCs/>
                <w:sz w:val="18"/>
              </w:rPr>
              <w:t xml:space="preserve"> </w:t>
            </w:r>
            <w:r w:rsidRPr="005478BF">
              <w:rPr>
                <w:i/>
                <w:iCs/>
                <w:sz w:val="18"/>
              </w:rPr>
              <w:t>Revised</w:t>
            </w:r>
            <w:proofErr w:type="gramEnd"/>
            <w:r w:rsidRPr="005478BF">
              <w:rPr>
                <w:i/>
                <w:iCs/>
                <w:sz w:val="18"/>
              </w:rPr>
              <w:t>: 2</w:t>
            </w:r>
            <w:r w:rsidR="00754CB4" w:rsidRPr="005478BF">
              <w:rPr>
                <w:i/>
                <w:iCs/>
                <w:sz w:val="18"/>
              </w:rPr>
              <w:t xml:space="preserve">6 </w:t>
            </w:r>
            <w:proofErr w:type="spellStart"/>
            <w:r w:rsidR="00754CB4" w:rsidRPr="005478BF">
              <w:rPr>
                <w:i/>
                <w:iCs/>
                <w:sz w:val="18"/>
              </w:rPr>
              <w:t>Agustus</w:t>
            </w:r>
            <w:proofErr w:type="spellEnd"/>
            <w:r w:rsidR="00754CB4" w:rsidRPr="005478BF">
              <w:rPr>
                <w:i/>
                <w:iCs/>
                <w:sz w:val="18"/>
              </w:rPr>
              <w:t xml:space="preserve"> </w:t>
            </w:r>
            <w:r w:rsidRPr="005478BF">
              <w:rPr>
                <w:i/>
                <w:iCs/>
                <w:sz w:val="18"/>
              </w:rPr>
              <w:t>202</w:t>
            </w:r>
            <w:r w:rsidR="00754CB4" w:rsidRPr="005478BF">
              <w:rPr>
                <w:i/>
                <w:iCs/>
                <w:sz w:val="18"/>
              </w:rPr>
              <w:t>6</w:t>
            </w:r>
            <w:r w:rsidRPr="005478BF">
              <w:rPr>
                <w:i/>
                <w:iCs/>
                <w:sz w:val="18"/>
              </w:rPr>
              <w:br/>
              <w:t xml:space="preserve">Accepted: 28 </w:t>
            </w:r>
            <w:proofErr w:type="spellStart"/>
            <w:r w:rsidR="00395C50" w:rsidRPr="005478BF">
              <w:rPr>
                <w:i/>
                <w:iCs/>
                <w:sz w:val="18"/>
              </w:rPr>
              <w:t>Agustus</w:t>
            </w:r>
            <w:proofErr w:type="spellEnd"/>
            <w:r w:rsidR="00395C50" w:rsidRPr="005478BF">
              <w:rPr>
                <w:i/>
                <w:iCs/>
                <w:sz w:val="18"/>
              </w:rPr>
              <w:t xml:space="preserve"> </w:t>
            </w:r>
            <w:r w:rsidRPr="005478BF">
              <w:rPr>
                <w:i/>
                <w:iCs/>
                <w:sz w:val="18"/>
              </w:rPr>
              <w:t>202</w:t>
            </w:r>
            <w:r w:rsidR="00395C50" w:rsidRPr="005478BF">
              <w:rPr>
                <w:i/>
                <w:iCs/>
                <w:sz w:val="18"/>
              </w:rPr>
              <w:t>6</w:t>
            </w:r>
            <w:r w:rsidRPr="005478BF">
              <w:rPr>
                <w:i/>
                <w:iCs/>
                <w:sz w:val="18"/>
              </w:rPr>
              <w:t xml:space="preserve"> | Published: 2</w:t>
            </w:r>
            <w:r w:rsidR="00395C50" w:rsidRPr="005478BF">
              <w:rPr>
                <w:i/>
                <w:iCs/>
                <w:sz w:val="18"/>
              </w:rPr>
              <w:t>8 Agustus</w:t>
            </w:r>
            <w:r w:rsidRPr="005478BF">
              <w:rPr>
                <w:i/>
                <w:iCs/>
                <w:sz w:val="18"/>
              </w:rPr>
              <w:t>202</w:t>
            </w:r>
            <w:r w:rsidR="00395C50" w:rsidRPr="005478BF">
              <w:rPr>
                <w:i/>
                <w:iCs/>
                <w:sz w:val="18"/>
              </w:rPr>
              <w:t>6</w:t>
            </w:r>
          </w:p>
        </w:tc>
        <w:tc>
          <w:tcPr>
            <w:tcW w:w="1403" w:type="dxa"/>
          </w:tcPr>
          <w:p w14:paraId="52B6CDDA" w14:textId="77777777" w:rsidR="00D918FF" w:rsidRPr="005478BF" w:rsidRDefault="00D918FF" w:rsidP="008207BB">
            <w:pPr>
              <w:pStyle w:val="NormalWeb"/>
              <w:spacing w:before="0" w:beforeAutospacing="0" w:after="120" w:afterAutospacing="0"/>
              <w:ind w:left="1" w:hanging="3"/>
              <w:rPr>
                <w:sz w:val="32"/>
                <w:szCs w:val="32"/>
              </w:rPr>
            </w:pPr>
          </w:p>
        </w:tc>
        <w:tc>
          <w:tcPr>
            <w:tcW w:w="3782" w:type="dxa"/>
          </w:tcPr>
          <w:p w14:paraId="4A040321" w14:textId="77777777" w:rsidR="00D918FF" w:rsidRPr="005478BF" w:rsidRDefault="00D918FF" w:rsidP="008207BB">
            <w:pPr>
              <w:widowControl w:val="0"/>
              <w:autoSpaceDE w:val="0"/>
              <w:autoSpaceDN w:val="0"/>
              <w:adjustRightInd w:val="0"/>
              <w:spacing w:after="240"/>
              <w:ind w:left="0" w:hanging="2"/>
              <w:contextualSpacing/>
              <w:jc w:val="right"/>
              <w:rPr>
                <w:sz w:val="24"/>
                <w:szCs w:val="24"/>
              </w:rPr>
            </w:pPr>
          </w:p>
        </w:tc>
      </w:tr>
    </w:tbl>
    <w:p w14:paraId="65EEC781" w14:textId="77777777" w:rsidR="00D918FF" w:rsidRPr="005478BF" w:rsidRDefault="00D918FF" w:rsidP="00D918FF">
      <w:pPr>
        <w:ind w:left="0" w:hanging="2"/>
        <w:jc w:val="both"/>
      </w:pPr>
    </w:p>
    <w:p w14:paraId="497773FA" w14:textId="53111FF0" w:rsidR="00AB6772" w:rsidRPr="000D787A" w:rsidRDefault="00AB6772">
      <w:pPr>
        <w:ind w:left="0" w:hanging="2"/>
        <w:sectPr w:rsidR="00AB6772" w:rsidRPr="000D787A">
          <w:pgSz w:w="11909" w:h="16834"/>
          <w:pgMar w:top="1418" w:right="1134" w:bottom="1418" w:left="1134" w:header="720" w:footer="720" w:gutter="0"/>
          <w:pgNumType w:start="1"/>
          <w:cols w:space="720"/>
        </w:sectPr>
      </w:pPr>
    </w:p>
    <w:p w14:paraId="06A90EAC" w14:textId="77777777" w:rsidR="00AB6772" w:rsidRPr="00D918FF" w:rsidRDefault="00000000">
      <w:pPr>
        <w:pBdr>
          <w:top w:val="nil"/>
          <w:left w:val="nil"/>
          <w:bottom w:val="nil"/>
          <w:right w:val="nil"/>
          <w:between w:val="nil"/>
        </w:pBdr>
        <w:spacing w:after="200" w:line="240" w:lineRule="auto"/>
        <w:ind w:left="0" w:hanging="2"/>
        <w:rPr>
          <w:color w:val="000000"/>
          <w:lang w:val="sv-SE"/>
        </w:rPr>
      </w:pPr>
      <w:r w:rsidRPr="00D918FF">
        <w:rPr>
          <w:b/>
          <w:color w:val="000000"/>
          <w:lang w:val="sv-SE"/>
        </w:rPr>
        <w:t>Abstrak</w:t>
      </w:r>
    </w:p>
    <w:p w14:paraId="1EA48F96" w14:textId="77777777" w:rsidR="00AB6772" w:rsidRPr="00D918FF" w:rsidRDefault="00000000">
      <w:pPr>
        <w:pBdr>
          <w:top w:val="nil"/>
          <w:left w:val="nil"/>
          <w:bottom w:val="nil"/>
          <w:right w:val="nil"/>
          <w:between w:val="nil"/>
        </w:pBdr>
        <w:spacing w:after="200" w:line="240" w:lineRule="auto"/>
        <w:ind w:left="0" w:hanging="2"/>
        <w:jc w:val="both"/>
        <w:rPr>
          <w:rFonts w:ascii="Tahoma" w:eastAsia="Tahoma" w:hAnsi="Tahoma" w:cs="Tahoma"/>
          <w:color w:val="000000"/>
          <w:sz w:val="27"/>
          <w:szCs w:val="27"/>
          <w:lang w:val="sv-SE"/>
        </w:rPr>
      </w:pPr>
      <w:r w:rsidRPr="00D918FF">
        <w:rPr>
          <w:color w:val="000000"/>
          <w:lang w:val="sv-SE"/>
        </w:rPr>
        <w:t>Perkembangan teknologi digital telah mendorong transformasi dalam praktik produksi makanan, termasuk pada bidang boga. Tantangan utama dalam praktik boga adalah menjaga konsistensi kualitas, efisiensi proses, dan keamanan pangan, terutama pada skala pendidikan vokasi dan unit produksi kecil. Penelitian ini bertujuan mengkaji pemanfaatan teknologi digital yang dipadukan dengan pembelajaran mesin ringan sebagai alat bantu pengambilan keputusan produksi makanan. Metode pembelajaran mesin yang digunakan adalah decision tree karena sifatnya yang sederhana dan mudah diinterpretasikan. Data dikumpulkan dari proses produksi makanan yang mencakup parameter waktu pemasakan, suhu, dan hasil kualitas produk. Hasil penelitian menunjukkan bahwa pemanfaatan teknologi digital yang didukung pembelajaran mesin ringan mampu membantu praktisi boga dalam mengidentifikasi pola proses produksi serta memberikan rekomendasi keputusan yang lebih sistematis. Penelitian ini menegaskan bahwa integrasi teknologi digital dan pembelajaran mesin ringan berpotensi meningkatkan keamanan dan efisiensi produksi makanan tanpa menghilangkan peran keahlian manusia.</w:t>
      </w:r>
    </w:p>
    <w:p w14:paraId="2A2542B0" w14:textId="77777777" w:rsidR="00AB6772" w:rsidRPr="00D918FF" w:rsidRDefault="00000000">
      <w:pPr>
        <w:pBdr>
          <w:top w:val="nil"/>
          <w:left w:val="nil"/>
          <w:bottom w:val="nil"/>
          <w:right w:val="nil"/>
          <w:between w:val="nil"/>
        </w:pBdr>
        <w:spacing w:after="120" w:line="240" w:lineRule="auto"/>
        <w:ind w:left="0" w:hanging="2"/>
        <w:jc w:val="both"/>
        <w:rPr>
          <w:color w:val="000000"/>
          <w:sz w:val="18"/>
          <w:szCs w:val="18"/>
          <w:lang w:val="sv-SE"/>
        </w:rPr>
      </w:pPr>
      <w:r w:rsidRPr="00D918FF">
        <w:rPr>
          <w:b/>
          <w:i/>
          <w:color w:val="000000"/>
          <w:sz w:val="18"/>
          <w:szCs w:val="18"/>
          <w:lang w:val="sv-SE"/>
        </w:rPr>
        <w:t>Kata kunci: teknologi digital, pembelajaran mesin ringan, decision tree</w:t>
      </w:r>
    </w:p>
    <w:p w14:paraId="727C2191" w14:textId="77777777" w:rsidR="00AB6772" w:rsidRDefault="00000000">
      <w:pPr>
        <w:pBdr>
          <w:top w:val="nil"/>
          <w:left w:val="nil"/>
          <w:bottom w:val="nil"/>
          <w:right w:val="nil"/>
          <w:between w:val="nil"/>
        </w:pBdr>
        <w:spacing w:after="120" w:line="240" w:lineRule="auto"/>
        <w:ind w:left="0" w:hanging="2"/>
        <w:rPr>
          <w:color w:val="000000"/>
        </w:rPr>
      </w:pPr>
      <w:r>
        <w:rPr>
          <w:b/>
          <w:i/>
          <w:color w:val="000000"/>
        </w:rPr>
        <w:t>Abstract</w:t>
      </w:r>
    </w:p>
    <w:p w14:paraId="1F20AA65" w14:textId="77777777" w:rsidR="00AB6772" w:rsidRDefault="00000000">
      <w:pPr>
        <w:pBdr>
          <w:top w:val="nil"/>
          <w:left w:val="nil"/>
          <w:bottom w:val="nil"/>
          <w:right w:val="nil"/>
          <w:between w:val="nil"/>
        </w:pBdr>
        <w:spacing w:after="120" w:line="240" w:lineRule="auto"/>
        <w:ind w:left="0" w:hanging="2"/>
        <w:jc w:val="both"/>
        <w:rPr>
          <w:color w:val="000000"/>
        </w:rPr>
      </w:pPr>
      <w:r>
        <w:rPr>
          <w:i/>
          <w:color w:val="000000"/>
        </w:rPr>
        <w:t xml:space="preserve">The development of digital technology has driven a transformation in food production practices, including in the culinary sector. The main challenge in culinary practices is maintaining consistent quality, process efficiency, and food safety, especially at the vocational education scale and small production units. This study aims to examine the use of digital technology combined </w:t>
      </w:r>
      <w:r>
        <w:rPr>
          <w:i/>
          <w:color w:val="000000"/>
        </w:rPr>
        <w:t>with lightweight machine learning as a decision-making tool in food production. The machine learning method used is a decision tree due to its simplicity and ease of interpretation. Data was collected from the food production process, including parameters such as cooking time, temperature, and product quality. The results show that the use of digital technology supported by lightweight machine learning can assist culinary practitioners in identifying production process patterns and providing more systematic decision recommendations. This study confirms that the integration of digital technology and lightweight machine learning has the potential to improve the safety and efficiency of food production without eliminating the role of human expertise.</w:t>
      </w:r>
    </w:p>
    <w:p w14:paraId="43359BC4" w14:textId="77777777" w:rsidR="00AB6772" w:rsidRDefault="00000000">
      <w:pPr>
        <w:pBdr>
          <w:top w:val="nil"/>
          <w:left w:val="nil"/>
          <w:bottom w:val="nil"/>
          <w:right w:val="nil"/>
          <w:between w:val="nil"/>
        </w:pBdr>
        <w:spacing w:after="120" w:line="240" w:lineRule="auto"/>
        <w:ind w:left="0" w:hanging="2"/>
        <w:jc w:val="both"/>
        <w:rPr>
          <w:color w:val="000000"/>
          <w:sz w:val="18"/>
          <w:szCs w:val="18"/>
        </w:rPr>
      </w:pPr>
      <w:r>
        <w:rPr>
          <w:b/>
          <w:i/>
          <w:color w:val="000000"/>
          <w:sz w:val="18"/>
          <w:szCs w:val="18"/>
        </w:rPr>
        <w:t>Keywords: digital technology, lightweight machine learning, decision tree</w:t>
      </w:r>
    </w:p>
    <w:p w14:paraId="7AA57515" w14:textId="77777777" w:rsidR="00AB6772" w:rsidRDefault="00AB6772">
      <w:pPr>
        <w:pBdr>
          <w:top w:val="nil"/>
          <w:left w:val="nil"/>
          <w:bottom w:val="nil"/>
          <w:right w:val="nil"/>
          <w:between w:val="nil"/>
        </w:pBdr>
        <w:spacing w:after="120" w:line="240" w:lineRule="auto"/>
        <w:ind w:left="1" w:hanging="3"/>
        <w:jc w:val="both"/>
        <w:rPr>
          <w:rFonts w:ascii="Tahoma" w:eastAsia="Tahoma" w:hAnsi="Tahoma" w:cs="Tahoma"/>
          <w:color w:val="000000"/>
          <w:sz w:val="27"/>
          <w:szCs w:val="27"/>
        </w:rPr>
      </w:pPr>
    </w:p>
    <w:p w14:paraId="3889A063" w14:textId="77777777" w:rsidR="00AB6772" w:rsidRDefault="00000000">
      <w:pPr>
        <w:pStyle w:val="Heading1"/>
        <w:numPr>
          <w:ilvl w:val="0"/>
          <w:numId w:val="3"/>
        </w:numPr>
        <w:ind w:hanging="2"/>
        <w:rPr>
          <w:rFonts w:ascii="Tahoma" w:eastAsia="Tahoma" w:hAnsi="Tahoma" w:cs="Tahoma"/>
          <w:color w:val="000000"/>
          <w:sz w:val="24"/>
          <w:szCs w:val="24"/>
        </w:rPr>
      </w:pPr>
      <w:r>
        <w:rPr>
          <w:b/>
          <w:smallCaps w:val="0"/>
          <w:color w:val="000000"/>
          <w:sz w:val="24"/>
          <w:szCs w:val="24"/>
        </w:rPr>
        <w:t>PENDAHULUAN</w:t>
      </w:r>
    </w:p>
    <w:p w14:paraId="12DAD640"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Transformasi digital merupakan fenomena yang semakin memengaruhi berbagai sektor, termasuk industri pangan dan praktik boga. Tuntutan terhadap keamanan pangan, efisiensi produksi, dan konsistensi kualitas mendorong perlunya pendekatan baru yang berbasis data dan teknologi. Dalam praktik boga, proses produksi makanan masih sering bergantung pada pengalaman dan intuisi, sehingga berpotensi menimbulkan variasi kualitas dan risiko kesalahan proses.</w:t>
      </w:r>
    </w:p>
    <w:p w14:paraId="705A1862" w14:textId="4DABCFEC"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 xml:space="preserve">Penelitian terkini menunjukkan bahwa teknologi digital, seperti pencatatan digital, sensor, dan sistem analitik data, berperan penting dalam </w:t>
      </w:r>
      <w:r w:rsidRPr="00D918FF">
        <w:rPr>
          <w:color w:val="000000"/>
          <w:sz w:val="22"/>
          <w:szCs w:val="22"/>
          <w:lang w:val="sv-SE"/>
        </w:rPr>
        <w:lastRenderedPageBreak/>
        <w:t xml:space="preserve">meningkatkan transparansi dan pengendalian proses produksi pangan </w:t>
      </w:r>
      <w:r w:rsidR="00D918FF">
        <w:rPr>
          <w:color w:val="000000"/>
          <w:sz w:val="22"/>
          <w:szCs w:val="22"/>
          <w:lang w:val="sv-SE"/>
        </w:rPr>
        <w:fldChar w:fldCharType="begin" w:fldLock="1"/>
      </w:r>
      <w:r w:rsidR="006F0CFF">
        <w:rPr>
          <w:color w:val="000000"/>
          <w:sz w:val="22"/>
          <w:szCs w:val="22"/>
          <w:lang w:val="sv-SE"/>
        </w:rPr>
        <w:instrText>ADDIN CSL_CITATION {"citationItems":[{"id":"ITEM-1","itemData":{"DOI":"10.1108/BFJ-08-2025-1013","ISSN":"0007-070X","abstract":"The purpose of this study is to systematically examine how digital traceability software is reshaping agri-food supply chains. It aims to uncover the managerial motivations behind their adoption, assess the perceived benefits and challenges and provide a clearer understanding of the strategic role these tools play in enhancing transparency, efficiency and sustainability.This study conducts a systematic literature review to explore the evolution, application and adoption benefits and challenges of traceability software in agri-food systems. Following the PRISMA methodology, 55 peer-reviewed studies published between 1998 and 2024 were analysed.The findings show a shift from early technologies like barcodes and relational databases to more advanced solutions integrating Radio-Frequency Identification, Internet of Things, Artificial Intelligence and Blockchain. Three main areas of application were identified: integrated supply chain management, internal process automation and logistics optimization. While benefits such as improved transparency and traceability, operational efficiency, quality monitoring, reduced errors and increased consumer confidence are well-recognized, significant barriers persist – including technological, economic and organizational obstacles.This study addresses the fragmented and sector-specific nature of existing literature by offering a comprehensive review of traceability software adoption across agri-food supply chains. It explores technological types, roles, adoption drivers and barriers and contextual influences, while highlighting organizational, cultural and strategic dimensions. The findings provide practical guidance for stakeholders and set a foundation for future research on real-world impacts and inclusive digital innovation.","author":[{"dropping-particle":"","family":"Adamashvili","given":"Nino","non-dropping-particle":"","parse-names":false,"suffix":""},{"dropping-particle":"","family":"Ganci","given":"Girolamo","non-dropping-particle":"","parse-names":false,"suffix":""},{"dropping-particle":"","family":"Colantuono","given":"Fedele","non-dropping-particle":"","parse-names":false,"suffix":""},{"dropping-particle":"","family":"Agnusdei","given":"Giulio Paolo","non-dropping-particle":"","parse-names":false,"suffix":""},{"dropping-particle":"","family":"Galati","given":"Antonino","non-dropping-particle":"","parse-names":false,"suffix":""}],"container-title":"British Food Journal","id":"ITEM-1","issue":"6","issued":{"date-parts":[["2025","12","25"]]},"page":"2187-2213","title":"How digital solutions are transforming food traceability: a systematic literature review of managerial perspectives, advantages and challenges","type":"article-journal","volume":"128"},"uris":["http://www.mendeley.com/documents/?uuid=182b5388-4316-4c5f-888b-e7d36c7acd66"]}],"mendeley":{"formattedCitation":"[1]","plainTextFormattedCitation":"[1]","previouslyFormattedCitation":"[1]"},"properties":{"noteIndex":0},"schema":"https://github.com/citation-style-language/schema/raw/master/csl-citation.json"}</w:instrText>
      </w:r>
      <w:r w:rsidR="00D918FF">
        <w:rPr>
          <w:color w:val="000000"/>
          <w:sz w:val="22"/>
          <w:szCs w:val="22"/>
          <w:lang w:val="sv-SE"/>
        </w:rPr>
        <w:fldChar w:fldCharType="separate"/>
      </w:r>
      <w:r w:rsidR="006F0CFF" w:rsidRPr="006F0CFF">
        <w:rPr>
          <w:noProof/>
          <w:color w:val="000000"/>
          <w:sz w:val="22"/>
          <w:szCs w:val="22"/>
          <w:lang w:val="sv-SE"/>
        </w:rPr>
        <w:t>[1]</w:t>
      </w:r>
      <w:r w:rsidR="00D918FF">
        <w:rPr>
          <w:color w:val="000000"/>
          <w:sz w:val="22"/>
          <w:szCs w:val="22"/>
          <w:lang w:val="sv-SE"/>
        </w:rPr>
        <w:fldChar w:fldCharType="end"/>
      </w:r>
      <w:r w:rsidR="00D918FF">
        <w:rPr>
          <w:color w:val="000000"/>
          <w:sz w:val="22"/>
          <w:szCs w:val="22"/>
          <w:lang w:val="sv-SE"/>
        </w:rPr>
        <w:fldChar w:fldCharType="begin" w:fldLock="1"/>
      </w:r>
      <w:r w:rsidR="006F0CFF">
        <w:rPr>
          <w:color w:val="000000"/>
          <w:sz w:val="22"/>
          <w:szCs w:val="22"/>
          <w:lang w:val="sv-SE"/>
        </w:rPr>
        <w:instrText>ADDIN CSL_CITATION {"citationItems":[{"id":"ITEM-1","itemData":{"DOI":"10.1016/j.foodcont.2026.112183","ISSN":"09567135","abstract":"The food industry is undergoing a rapid transformation driven by the integration of advanced sensor technologies and Industry 4.0 digital enablers. Ensuring food quality, safety, sustainability, and traceability across increasingly complex supply chains requires real-time, scalable, data-driven monitoring solutions. This paper presents a comprehensive analysis of the scientific literature on sensor technologies applied to the food industry within the Industry 4.0 framework, using both bibliometric and content-based analyses. The former aims to examine publication trends, geographical distribution, and keyword co-occurrence patterns, identifying dominant research themes and technological directions. The latter concentrates on the principal sensor classifications employed in food systems, including chemical, biological, optical, physical, and nano-enabled sensors. The study further investigates how these sensing technologies are integrated with key digital enablers such as the Internet of Things, artificial intelligence, machine learning, cloud computing, blockchain, and additive manufacturing. The focus is on the role of sensors at each step of the food supply chain, from growing and processing to storage, transport, sales, and consumption. The results indicate that sensor-based solutions are becoming more mature and have the potential to improve food safety, operational efficiency, sustainability, and traceability. At the same time, the paper identifies the main challenges that still limit their large-scale adoption and outlines future research directions toward fully integrated smart food systems.","author":[{"dropping-particle":"","family":"Braggio","given":"Mattia","non-dropping-particle":"","parse-names":false,"suffix":""},{"dropping-particle":"","family":"Melesse","given":"Tsega Y.","non-dropping-particle":"","parse-names":false,"suffix":""},{"dropping-particle":"","family":"Arena","given":"Simone","non-dropping-particle":"","parse-names":false,"suffix":""},{"dropping-particle":"","family":"Orrù","given":"Pier Francesco","non-dropping-particle":"","parse-names":false,"suffix":""},{"dropping-particle":"","family":"Briatore","given":"Federico","non-dropping-particle":"","parse-names":false,"suffix":""}],"container-title":"Food Control","id":"ITEM-1","issue":"January","issued":{"date-parts":[["2026"]]},"page":"112183","publisher":"Elsevier Ltd","title":"Sensor technologies in the food industry under industry 4.0: A systematic review","type":"article-journal","volume":"187"},"uris":["http://www.mendeley.com/documents/?uuid=d476b9f3-d3d7-4aaa-a754-6a0fe6329020"]}],"mendeley":{"formattedCitation":"[2]","plainTextFormattedCitation":"[2]","previouslyFormattedCitation":"[2]"},"properties":{"noteIndex":0},"schema":"https://github.com/citation-style-language/schema/raw/master/csl-citation.json"}</w:instrText>
      </w:r>
      <w:r w:rsidR="00D918FF">
        <w:rPr>
          <w:color w:val="000000"/>
          <w:sz w:val="22"/>
          <w:szCs w:val="22"/>
          <w:lang w:val="sv-SE"/>
        </w:rPr>
        <w:fldChar w:fldCharType="separate"/>
      </w:r>
      <w:r w:rsidR="006F0CFF" w:rsidRPr="006F0CFF">
        <w:rPr>
          <w:noProof/>
          <w:color w:val="000000"/>
          <w:sz w:val="22"/>
          <w:szCs w:val="22"/>
          <w:lang w:val="sv-SE"/>
        </w:rPr>
        <w:t>[2]</w:t>
      </w:r>
      <w:r w:rsidR="00D918FF">
        <w:rPr>
          <w:color w:val="000000"/>
          <w:sz w:val="22"/>
          <w:szCs w:val="22"/>
          <w:lang w:val="sv-SE"/>
        </w:rPr>
        <w:fldChar w:fldCharType="end"/>
      </w:r>
      <w:r w:rsidRPr="00D918FF">
        <w:rPr>
          <w:color w:val="000000"/>
          <w:sz w:val="22"/>
          <w:szCs w:val="22"/>
          <w:lang w:val="sv-SE"/>
        </w:rPr>
        <w:t>. Selain itu, perkembangan pembelajaran mesin membuka peluang pemanfaatan data produksi untuk mendukung pengambilan keputusan yang lebih objektif dan sistematis.</w:t>
      </w:r>
    </w:p>
    <w:p w14:paraId="4B665E36" w14:textId="15A76436"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 xml:space="preserve">Standar keamanan pangan internasional, seperti ISO 22000, menegaskan pentingnya sistem manajemen yang terdokumentasi dan terukur pada setiap tahap rantai produksi pangan </w:t>
      </w:r>
      <w:r w:rsidR="006F0CFF">
        <w:rPr>
          <w:color w:val="000000"/>
          <w:sz w:val="22"/>
          <w:szCs w:val="22"/>
          <w:lang w:val="sv-SE"/>
        </w:rPr>
        <w:fldChar w:fldCharType="begin" w:fldLock="1"/>
      </w:r>
      <w:r w:rsidR="006F0CFF">
        <w:rPr>
          <w:color w:val="000000"/>
          <w:sz w:val="22"/>
          <w:szCs w:val="22"/>
          <w:lang w:val="sv-SE"/>
        </w:rPr>
        <w:instrText>ADDIN CSL_CITATION {"citationItems":[{"id":"ITEM-1","itemData":{"DOI":"https://doi.org/10.1111/jfs.12464","ISSN":"0149-6085","abstract":"Abstract Food safety and quality has received attention in the agri-food sector and is basis of all initiatives taken on different activity levels starting from farm to enterprises as a whole on regional, national, and international levels. A hybrid of the ISO 9001, Quality Management System and Hazard Analysis and Critical Control Point (HACCP), ISO 22000 has been developed as an international solution for improving the food safety. Instead of applying good manufacturing practices, HACCP and ISO 9001:2000 separately, ISO 22000:2005 is implemented to observe the synergetic effect and to ensure food safety in food supply chain. ISO 22000 also known as Food Safety Management System (FSMS) is an international auditable standard. Standard ensures safe food supply throughout the chain and provide a framework of internationally harmonized system for the global approach. ISO 22000 incorporates critical control point and hazard analysis systems in more improved form to produce much effective auditable FSMS. This standard endorses conformity of services and products for international trading by assuring about reliability, food quality, and food safety. Practical applications The role exploration of Food Safety Management System (FSMS) in implementing food safety throughout the food production and supply chain is reviewed in this paper. The goal ?once certified, accepted worldwide? of Globe Food Safety Initiative theme discussed to help industries and researchers. ISO 22000 along with its sister standards are auditable, reliable, and reasonable to ensure safe production, distribution, and consumption of food. During review of literature it is revealed that all technical aspects and requirements to implement the FSMS are not discussed on one place and thus leading to confusion. The aim of this review is to discuss different requirements, documentations, and systems in place for the certification of standards and the article will be helpful for the industries, technocrats, academicians, researchers, and policy framers.","author":[{"dropping-particle":"","family":"Panghal","given":"Anil","non-dropping-particle":"","parse-names":false,"suffix":""},{"dropping-particle":"","family":"Chhikara","given":"Navnidhi","non-dropping-particle":"","parse-names":false,"suffix":""},{"dropping-particle":"","family":"Sindhu","given":"Neelesh","non-dropping-particle":"","parse-names":false,"suffix":""},{"dropping-particle":"","family":"Jaglan","given":"Sundeep","non-dropping-particle":"","parse-names":false,"suffix":""}],"container-title":"Journal of Food Safety","id":"ITEM-1","issue":"4","issued":{"date-parts":[["2018","8","1"]]},"page":"e12464","publisher":"John Wiley &amp; Sons, Ltd","title":"Role of Food Safety Management Systems in safe food production: A review","type":"article-journal","volume":"38"},"uris":["http://www.mendeley.com/documents/?uuid=db8a5bea-5eac-41c0-bdef-5b4793911a88"]}],"mendeley":{"formattedCitation":"[3]","plainTextFormattedCitation":"[3]","previouslyFormattedCitation":"[3]"},"properties":{"noteIndex":0},"schema":"https://github.com/citation-style-language/schema/raw/master/csl-citation.json"}</w:instrText>
      </w:r>
      <w:r w:rsidR="006F0CFF">
        <w:rPr>
          <w:color w:val="000000"/>
          <w:sz w:val="22"/>
          <w:szCs w:val="22"/>
          <w:lang w:val="sv-SE"/>
        </w:rPr>
        <w:fldChar w:fldCharType="separate"/>
      </w:r>
      <w:r w:rsidR="006F0CFF" w:rsidRPr="006F0CFF">
        <w:rPr>
          <w:noProof/>
          <w:color w:val="000000"/>
          <w:sz w:val="22"/>
          <w:szCs w:val="22"/>
          <w:lang w:val="sv-SE"/>
        </w:rPr>
        <w:t>[3]</w:t>
      </w:r>
      <w:r w:rsidR="006F0CFF">
        <w:rPr>
          <w:color w:val="000000"/>
          <w:sz w:val="22"/>
          <w:szCs w:val="22"/>
          <w:lang w:val="sv-SE"/>
        </w:rPr>
        <w:fldChar w:fldCharType="end"/>
      </w:r>
      <w:r w:rsidR="006F0CFF">
        <w:rPr>
          <w:color w:val="000000"/>
          <w:sz w:val="22"/>
          <w:szCs w:val="22"/>
          <w:lang w:val="sv-SE"/>
        </w:rPr>
        <w:fldChar w:fldCharType="begin" w:fldLock="1"/>
      </w:r>
      <w:r w:rsidR="006F0CFF">
        <w:rPr>
          <w:color w:val="000000"/>
          <w:sz w:val="22"/>
          <w:szCs w:val="22"/>
          <w:lang w:val="sv-SE"/>
        </w:rPr>
        <w:instrText>ADDIN CSL_CITATION {"citationItems":[{"id":"ITEM-1","itemData":{"DOI":"https://doi.org/10.1108/BFJ-05-2021-0476","ISSN":"0007-070X","abstract":"Purpose The study sets to summarise managerial requirements, analyse practices and tools to measure food safety management system (FSMS) implementation. Also, underpinned by critical success factors (CSFs) theory, the authors explore when food firms manage FSMS and which factors are critical to their implementation to identify promising research directions for researchers and suggestions for practitioners through a comprehensive analytical lens. Design/methodology/approach It is difficult to ensure food safety from farm to fork worldwide. The paper addresses this challenge from the angle of how firms measure and improve the implementation of the FSMS in global food supply chains by a systematic review combined with biological mapping analysis (VOS viewer) on 81 peer-reviewed papers published from 2005 to 2020. Findings Mandatory and voluntary regulations and standards are the most critical part of international requirements to assure integrated, proactive, risk-based approaches as well as continuous improvement in the FSMS in global food chains. To measure the FSMS, only a limited number of measurement tools for the FSMS have been identified. External and internal factors, and technology adoption that significantly impact the management of the FSMS implementation still require more future works. Research limitations/implications Several FSMS research gaps observed during the content analysis of selected papers within 15 years are presented along with ten future research questions. Practical implications A systematised list of published papers that have been studied and reported in this research could be a useful reference point for practitioners in the food industry. Originality/value This study set out to summarise managerial requirements for the FSMS from the existing research, analyse practices and tools to measure FSMS implementation, explore when food firms manage the FSMS, which factors are critical to their implementation, and identify promising research directions for researchers and useful suggestions for practitioners.","author":[{"dropping-particle":"","family":"Nguyen","given":"Tram Thi Bich","non-dropping-particle":"","parse-names":false,"suffix":""},{"dropping-particle":"","family":"Li","given":"Dong","non-dropping-particle":"","parse-names":false,"suffix":""}],"container-title":"British Food Journal","id":"ITEM-1","issue":"10","issued":{"date-parts":[["2021"]]},"page":"3014-3031","title":"A systematic literature review of food safety management system implementation in global supply chains","type":"article-journal","volume":"124"},"uris":["http://www.mendeley.com/documents/?uuid=e5cc866e-de20-4ec9-aeb7-addfed83e913"]}],"mendeley":{"formattedCitation":"[4]","plainTextFormattedCitation":"[4]","previouslyFormattedCitation":"[4]"},"properties":{"noteIndex":0},"schema":"https://github.com/citation-style-language/schema/raw/master/csl-citation.json"}</w:instrText>
      </w:r>
      <w:r w:rsidR="006F0CFF">
        <w:rPr>
          <w:color w:val="000000"/>
          <w:sz w:val="22"/>
          <w:szCs w:val="22"/>
          <w:lang w:val="sv-SE"/>
        </w:rPr>
        <w:fldChar w:fldCharType="separate"/>
      </w:r>
      <w:r w:rsidR="006F0CFF" w:rsidRPr="006F0CFF">
        <w:rPr>
          <w:noProof/>
          <w:color w:val="000000"/>
          <w:sz w:val="22"/>
          <w:szCs w:val="22"/>
          <w:lang w:val="sv-SE"/>
        </w:rPr>
        <w:t>[4]</w:t>
      </w:r>
      <w:r w:rsidR="006F0CFF">
        <w:rPr>
          <w:color w:val="000000"/>
          <w:sz w:val="22"/>
          <w:szCs w:val="22"/>
          <w:lang w:val="sv-SE"/>
        </w:rPr>
        <w:fldChar w:fldCharType="end"/>
      </w:r>
      <w:r w:rsidRPr="00D918FF">
        <w:rPr>
          <w:color w:val="000000"/>
          <w:sz w:val="22"/>
          <w:szCs w:val="22"/>
          <w:lang w:val="sv-SE"/>
        </w:rPr>
        <w:t>. Kepatuhan terhadap standar mutu dan keamanan tersebut menjadi semakin kompleks ketika volume data produksi meningkat, sehingga diperlukan alat bantu yang dapat membaca pola data secara cepat dan konsisten</w:t>
      </w:r>
      <w:r w:rsidR="006F0CFF">
        <w:rPr>
          <w:color w:val="000000"/>
          <w:sz w:val="22"/>
          <w:szCs w:val="22"/>
          <w:lang w:val="sv-SE"/>
        </w:rPr>
        <w:fldChar w:fldCharType="begin" w:fldLock="1"/>
      </w:r>
      <w:r w:rsidR="006F0CFF">
        <w:rPr>
          <w:color w:val="000000"/>
          <w:sz w:val="22"/>
          <w:szCs w:val="22"/>
          <w:lang w:val="sv-SE"/>
        </w:rPr>
        <w:instrText>ADDIN CSL_CITATION {"citationItems":[{"id":"ITEM-1","itemData":{"DOI":"10.1038/s41538-025-00394-y","ISSN":"2396-8370","abstract":"The food industry has experienced rapid growth over the past two decades, driven by technological advancements that have generated vast quantities of complex data. However, the industry’s ability to effectively analyze and leverage this data remains limited due to the lack of control over diverse variables. This review addresses a critical gap by exploring how AI-ML-based approaches can be applied to solve key challenges in the food sector.","author":[{"dropping-particle":"","family":"Siddique","given":"Aftab","non-dropping-particle":"","parse-names":false,"suffix":""},{"dropping-particle":"","family":"Gupta","given":"Ashish","non-dropping-particle":"","parse-names":false,"suffix":""},{"dropping-particle":"","family":"Sawyer","given":"Jason T","non-dropping-particle":"","parse-names":false,"suffix":""},{"dropping-particle":"","family":"Huang","given":"Tung-Shi","non-dropping-particle":"","parse-names":false,"suffix":""},{"dropping-particle":"","family":"Morey","given":"Amit","non-dropping-particle":"","parse-names":false,"suffix":""}],"container-title":"npj Science of Food","id":"ITEM-1","issue":"1","issued":{"date-parts":[["2025"]]},"page":"36","title":"Big data analytics in food industry: a state-of-the-art literature review","type":"article-journal","volume":"9"},"uris":["http://www.mendeley.com/documents/?uuid=9ce42094-54f9-4782-88c6-e3b83f2550f8"]}],"mendeley":{"formattedCitation":"[5]","plainTextFormattedCitation":"[5]","previouslyFormattedCitation":"[5]"},"properties":{"noteIndex":0},"schema":"https://github.com/citation-style-language/schema/raw/master/csl-citation.json"}</w:instrText>
      </w:r>
      <w:r w:rsidR="006F0CFF">
        <w:rPr>
          <w:color w:val="000000"/>
          <w:sz w:val="22"/>
          <w:szCs w:val="22"/>
          <w:lang w:val="sv-SE"/>
        </w:rPr>
        <w:fldChar w:fldCharType="separate"/>
      </w:r>
      <w:r w:rsidR="006F0CFF" w:rsidRPr="006F0CFF">
        <w:rPr>
          <w:noProof/>
          <w:color w:val="000000"/>
          <w:sz w:val="22"/>
          <w:szCs w:val="22"/>
          <w:lang w:val="sv-SE"/>
        </w:rPr>
        <w:t>[5]</w:t>
      </w:r>
      <w:r w:rsidR="006F0CFF">
        <w:rPr>
          <w:color w:val="000000"/>
          <w:sz w:val="22"/>
          <w:szCs w:val="22"/>
          <w:lang w:val="sv-SE"/>
        </w:rPr>
        <w:fldChar w:fldCharType="end"/>
      </w:r>
      <w:r w:rsidRPr="00D918FF">
        <w:rPr>
          <w:color w:val="000000"/>
          <w:sz w:val="22"/>
          <w:szCs w:val="22"/>
          <w:lang w:val="sv-SE"/>
        </w:rPr>
        <w:t>. Di sisi lain, laporan organisasi pangan dunia menunjukkan bahwa adopsi teknologi digital pada sektor pangan masih belum merata, khususnya pada unit produksi berskala kecil dan menengah</w:t>
      </w:r>
      <w:r w:rsidR="006F0CFF">
        <w:rPr>
          <w:color w:val="000000"/>
          <w:sz w:val="22"/>
          <w:szCs w:val="22"/>
          <w:lang w:val="sv-SE"/>
        </w:rPr>
        <w:fldChar w:fldCharType="begin" w:fldLock="1"/>
      </w:r>
      <w:r w:rsidR="006F0CFF">
        <w:rPr>
          <w:color w:val="000000"/>
          <w:sz w:val="22"/>
          <w:szCs w:val="22"/>
          <w:lang w:val="sv-SE"/>
        </w:rPr>
        <w:instrText>ADDIN CSL_CITATION {"citationItems":[{"id":"ITEM-1","itemData":{"DOI":"10.4060/cc8826en","ISBN":"9789251384060","abstract":"… platform in the Lao People’s Democratic Republic Digital coaching and mentoring programmes for SMEs from Singapore and Malaysia Government support to foster e-commerce …","container-title":"Promoting the digitalization of small and medium-sized agrifood enterprises in Asia and the Pacific","id":"ITEM-1","issued":{"date-parts":[["2023"]]},"title":"Promoting the digitalization of small and medium-sized agrifood enterprises in Asia and the Pacific","type":"book"},"uris":["http://www.mendeley.com/documents/?uuid=9922c7a7-99d9-4eda-b199-9ae7dc710857"]}],"mendeley":{"formattedCitation":"[6]","plainTextFormattedCitation":"[6]","previouslyFormattedCitation":"[6]"},"properties":{"noteIndex":0},"schema":"https://github.com/citation-style-language/schema/raw/master/csl-citation.json"}</w:instrText>
      </w:r>
      <w:r w:rsidR="006F0CFF">
        <w:rPr>
          <w:color w:val="000000"/>
          <w:sz w:val="22"/>
          <w:szCs w:val="22"/>
          <w:lang w:val="sv-SE"/>
        </w:rPr>
        <w:fldChar w:fldCharType="separate"/>
      </w:r>
      <w:r w:rsidR="006F0CFF" w:rsidRPr="006F0CFF">
        <w:rPr>
          <w:noProof/>
          <w:color w:val="000000"/>
          <w:sz w:val="22"/>
          <w:szCs w:val="22"/>
          <w:lang w:val="sv-SE"/>
        </w:rPr>
        <w:t>[6]</w:t>
      </w:r>
      <w:r w:rsidR="006F0CFF">
        <w:rPr>
          <w:color w:val="000000"/>
          <w:sz w:val="22"/>
          <w:szCs w:val="22"/>
          <w:lang w:val="sv-SE"/>
        </w:rPr>
        <w:fldChar w:fldCharType="end"/>
      </w:r>
      <w:r w:rsidRPr="00D918FF">
        <w:rPr>
          <w:color w:val="000000"/>
          <w:sz w:val="22"/>
          <w:szCs w:val="22"/>
          <w:lang w:val="sv-SE"/>
        </w:rPr>
        <w:t>.</w:t>
      </w:r>
    </w:p>
    <w:p w14:paraId="31392C23" w14:textId="58D5239E"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Perkembangan Industry 4.0 turut mendorong transformasi digital di sektor pangan melalui otomatisasi, konektivitas data, dan analitik cerdas</w:t>
      </w:r>
      <w:r w:rsidR="006F0CFF">
        <w:rPr>
          <w:color w:val="000000"/>
          <w:sz w:val="22"/>
          <w:szCs w:val="22"/>
          <w:lang w:val="sv-SE"/>
        </w:rPr>
        <w:fldChar w:fldCharType="begin" w:fldLock="1"/>
      </w:r>
      <w:r w:rsidR="007E5C17">
        <w:rPr>
          <w:color w:val="000000"/>
          <w:sz w:val="22"/>
          <w:szCs w:val="22"/>
          <w:lang w:val="sv-SE"/>
        </w:rPr>
        <w:instrText>ADDIN CSL_CITATION {"citationItems":[{"id":"ITEM-1","itemData":{"DOI":"10.4060/cc8826en","ISBN":"9789251384060","abstract":"… platform in the Lao People’s Democratic Republic Digital coaching and mentoring programmes for SMEs from Singapore and Malaysia Government support to foster e-commerce …","container-title":"Promoting the digitalization of small and medium-sized agrifood enterprises in Asia and the Pacific","id":"ITEM-1","issued":{"date-parts":[["2023"]]},"title":"Promoting the digitalization of small and medium-sized agrifood enterprises in Asia and the Pacific","type":"book"},"uris":["http://www.mendeley.com/documents/?uuid=9922c7a7-99d9-4eda-b199-9ae7dc710857"]}],"mendeley":{"formattedCitation":"[6]","plainTextFormattedCitation":"[6]","previouslyFormattedCitation":"[6]"},"properties":{"noteIndex":0},"schema":"https://github.com/citation-style-language/schema/raw/master/csl-citation.json"}</w:instrText>
      </w:r>
      <w:r w:rsidR="006F0CFF">
        <w:rPr>
          <w:color w:val="000000"/>
          <w:sz w:val="22"/>
          <w:szCs w:val="22"/>
          <w:lang w:val="sv-SE"/>
        </w:rPr>
        <w:fldChar w:fldCharType="separate"/>
      </w:r>
      <w:r w:rsidR="006F0CFF" w:rsidRPr="006F0CFF">
        <w:rPr>
          <w:noProof/>
          <w:color w:val="000000"/>
          <w:sz w:val="22"/>
          <w:szCs w:val="22"/>
          <w:lang w:val="sv-SE"/>
        </w:rPr>
        <w:t>[6]</w:t>
      </w:r>
      <w:r w:rsidR="006F0CFF">
        <w:rPr>
          <w:color w:val="000000"/>
          <w:sz w:val="22"/>
          <w:szCs w:val="22"/>
          <w:lang w:val="sv-SE"/>
        </w:rPr>
        <w:fldChar w:fldCharType="end"/>
      </w:r>
      <w:r w:rsidRPr="00D918FF">
        <w:rPr>
          <w:color w:val="000000"/>
          <w:sz w:val="22"/>
          <w:szCs w:val="22"/>
          <w:lang w:val="sv-SE"/>
        </w:rPr>
        <w:t>. Pemanfaatan teknologi tersebut tidak hanya meningkatkan efisiensi operasional, tetapi juga membuka peluang bagi pelaku usaha skala kecil untuk mengadopsi praktik berbasis data secara bertahap</w:t>
      </w:r>
      <w:r w:rsidR="007E5C17">
        <w:rPr>
          <w:color w:val="000000"/>
          <w:sz w:val="22"/>
          <w:szCs w:val="22"/>
          <w:lang w:val="sv-SE"/>
        </w:rPr>
        <w:fldChar w:fldCharType="begin" w:fldLock="1"/>
      </w:r>
      <w:r w:rsidR="007E5C17">
        <w:rPr>
          <w:color w:val="000000"/>
          <w:sz w:val="22"/>
          <w:szCs w:val="22"/>
          <w:lang w:val="sv-SE"/>
        </w:rPr>
        <w:instrText>ADDIN CSL_CITATION {"citationItems":[{"id":"ITEM-1","itemData":{"DOI":"https://doi.org/10.1108/BFJ-06-2022-0541","ISSN":"0007-070X","abstract":"Purpose The aim of this paper is to analyse the moderating effect of digital transformation (DT) on the relationship between innovation capacity and the performance of agrifood businesses. Design/methodology/approach Based on a structured questionnaire, data on 98 agrifood small and medium-sized enterprises operating in Spain were collected. The data were analysed using partial least squares structural equation modelling to test the proposed model and study the moderating effect of DT on the relationship between the innovation capacity and performance of agrifood businesses. Findings The study finds support for the hypotheses and shows the existence of a direct positive relationship between the DT and performance of agrifood businesses. Developing new practices focussed on customer service and performing actions such as improving sales, promoting a new product or service and including a post-sales service influence the capacity of a business to undertake DT. Research limitations/implications Future studies should include other factors in the analysis. For example, the impact of knowledge transfer and research and development (R&amp;D) on agrifood businesses' performance should be studied. Education and training, as well as having a diverse network, can help develop and boost businesses' capacity to use and apply the required innovation. Networks play an important role in learning how to apply DT. Originality/value This quantitative study is the first to examine the moderating effect of DT in the Spanish agrifood sector on the relationship between innovation capacity and performance. The study examines the role of the DT of companies and explores the competitiveness and efficiency tools that digitalisation offers. Innovation capacity is crucial for the application of these tools.","author":[{"dropping-particle":"","family":"Benavides-Espinosa","given":"María del Mar","non-dropping-particle":"","parse-names":false,"suffix":""},{"dropping-particle":"","family":"Ribeiro-Soriano","given":"Domingo","non-dropping-particle":"","parse-names":false,"suffix":""},{"dropping-particle":"","family":"Gieure","given":"Clara","non-dropping-particle":"","parse-names":false,"suffix":""}],"container-title":"British Food Journal","id":"ITEM-1","issue":"4","issued":{"date-parts":[["2024"]]},"page":"1682-1697","title":"How can agrifood businesses improve their performance? The role of digital transformation","type":"article-journal","volume":"126"},"uris":["http://www.mendeley.com/documents/?uuid=0887b734-5124-4057-9ae7-d190524646f2"]}],"mendeley":{"formattedCitation":"[7]","plainTextFormattedCitation":"[7]","previouslyFormattedCitation":"[7]"},"properties":{"noteIndex":0},"schema":"https://github.com/citation-style-language/schema/raw/master/csl-citation.json"}</w:instrText>
      </w:r>
      <w:r w:rsidR="007E5C17">
        <w:rPr>
          <w:color w:val="000000"/>
          <w:sz w:val="22"/>
          <w:szCs w:val="22"/>
          <w:lang w:val="sv-SE"/>
        </w:rPr>
        <w:fldChar w:fldCharType="separate"/>
      </w:r>
      <w:r w:rsidR="007E5C17" w:rsidRPr="007E5C17">
        <w:rPr>
          <w:noProof/>
          <w:color w:val="000000"/>
          <w:sz w:val="22"/>
          <w:szCs w:val="22"/>
          <w:lang w:val="sv-SE"/>
        </w:rPr>
        <w:t>[7]</w:t>
      </w:r>
      <w:r w:rsidR="007E5C17">
        <w:rPr>
          <w:color w:val="000000"/>
          <w:sz w:val="22"/>
          <w:szCs w:val="22"/>
          <w:lang w:val="sv-SE"/>
        </w:rPr>
        <w:fldChar w:fldCharType="end"/>
      </w:r>
      <w:r w:rsidRPr="00D918FF">
        <w:rPr>
          <w:color w:val="000000"/>
          <w:sz w:val="22"/>
          <w:szCs w:val="22"/>
          <w:lang w:val="sv-SE"/>
        </w:rPr>
        <w:t>.</w:t>
      </w:r>
    </w:p>
    <w:p w14:paraId="795F117B"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Namun demikian, penggunaan pembelajaran mesin dalam konteks praktik boga perlu disesuaikan dengan karakteristik pengguna dan lingkungan. Model pembelajaran mesin yang kompleks sering kali sulit diimplementasikan dan dipahami oleh praktisi non-teknis. Oleh karena itu, pendekatan pembelajaran mesin ringan yang mudah dijelaskan menjadi alternatif yang lebih relevan.</w:t>
      </w:r>
    </w:p>
    <w:p w14:paraId="4F2E828F"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Berdasarkan latar belakang tersebut, penelitian ini bertujuan mengkaji pemanfaatan teknologi digital yang dipadukan dengan pembelajaran mesin ringan dalam praktik boga untuk mendukung pengambilan keputusan produksi makanan yang aman dan efisien. Penelitian ini diharapkan dapat memberikan kontribusi praktis bagi praktisi boga maupun institusi pendidikan vokasi dalam menerapkan pendekatan berbasis data pada skala produksi kecil.</w:t>
      </w:r>
    </w:p>
    <w:p w14:paraId="465390EC" w14:textId="77777777" w:rsidR="00AB6772" w:rsidRDefault="00000000">
      <w:pPr>
        <w:pStyle w:val="Heading1"/>
        <w:numPr>
          <w:ilvl w:val="0"/>
          <w:numId w:val="3"/>
        </w:numPr>
        <w:ind w:hanging="2"/>
        <w:rPr>
          <w:rFonts w:ascii="Tahoma" w:eastAsia="Tahoma" w:hAnsi="Tahoma" w:cs="Tahoma"/>
          <w:color w:val="000000"/>
          <w:sz w:val="24"/>
          <w:szCs w:val="24"/>
        </w:rPr>
      </w:pPr>
      <w:r>
        <w:rPr>
          <w:b/>
          <w:smallCaps w:val="0"/>
          <w:color w:val="000000"/>
          <w:sz w:val="24"/>
          <w:szCs w:val="24"/>
        </w:rPr>
        <w:t>TINJAUAN PUSTAKA</w:t>
      </w:r>
    </w:p>
    <w:p w14:paraId="0EEB99EF" w14:textId="77777777" w:rsidR="00AB6772" w:rsidRPr="000D787A" w:rsidRDefault="00000000">
      <w:pPr>
        <w:pStyle w:val="Heading2"/>
        <w:numPr>
          <w:ilvl w:val="1"/>
          <w:numId w:val="4"/>
        </w:numPr>
        <w:ind w:left="0" w:hanging="2"/>
        <w:rPr>
          <w:rFonts w:ascii="Tahoma" w:eastAsia="Tahoma" w:hAnsi="Tahoma" w:cs="Tahoma"/>
          <w:color w:val="000000"/>
          <w:sz w:val="22"/>
          <w:szCs w:val="22"/>
          <w:lang w:val="sv-SE"/>
        </w:rPr>
      </w:pPr>
      <w:r w:rsidRPr="000D787A">
        <w:rPr>
          <w:b/>
          <w:i w:val="0"/>
          <w:color w:val="000000"/>
          <w:sz w:val="22"/>
          <w:szCs w:val="22"/>
          <w:lang w:val="sv-SE"/>
        </w:rPr>
        <w:t>Teknologi Digital dalam Produksi Pangan dan Praktik Boga</w:t>
      </w:r>
    </w:p>
    <w:p w14:paraId="7F7D2463" w14:textId="4400F720"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 xml:space="preserve">Teknologi digital telah menjadi komponen penting dalam sistem produksi pangan modern. Digitalisasi memungkinkan pencatatan dan pemantauan proses </w:t>
      </w:r>
      <w:r w:rsidRPr="00D918FF">
        <w:rPr>
          <w:color w:val="000000"/>
          <w:sz w:val="22"/>
          <w:szCs w:val="22"/>
          <w:lang w:val="sv-SE"/>
        </w:rPr>
        <w:t>produksi secara sistematis, sehingga meningkatkan efisiensi dan konsistensi kualitas produk</w:t>
      </w:r>
      <w:r w:rsidR="007E5C17">
        <w:rPr>
          <w:color w:val="000000"/>
          <w:sz w:val="22"/>
          <w:szCs w:val="22"/>
          <w:lang w:val="sv-SE"/>
        </w:rPr>
        <w:fldChar w:fldCharType="begin" w:fldLock="1"/>
      </w:r>
      <w:r w:rsidR="007E5C17">
        <w:rPr>
          <w:color w:val="000000"/>
          <w:sz w:val="22"/>
          <w:szCs w:val="22"/>
          <w:lang w:val="sv-SE"/>
        </w:rPr>
        <w:instrText>ADDIN CSL_CITATION {"citationItems":[{"id":"ITEM-1","itemData":{"DOI":"https://doi.org/10.1016/j.foodcont.2024.111030","ISSN":"0956-7135","abstract":"The agri-food sector represents a boundless source for sustaining a growing global population, with food quality emerging as a paramount concern. However, the evolving landscape presents several challenges, necessitating a compelling need to harness the potential of recent advancements in computer-aided systems. Fortunately, advances in computer-aided digital transformation have ushered in the era of Industry 4.0, representing a dramatic leap forward. Within this framework, Quality 4.0 has emerged as a pivotal component, leveraging intelligent and innovative technologies to enhance quality monitoring systems. This review emphasizes within the broader context of digital transformation that defines today's food industry, facilitating the utilization of artificial intelligence (AI), big data analytics, food printing techniques, digital twins, smart sensors, and blockchain technology to revolutionize quality management in different food sector.","author":[{"dropping-particle":"","family":"Bisht","given":"Bhawna","non-dropping-particle":"","parse-names":false,"suffix":""},{"dropping-particle":"","family":"Rawat","given":"Kanishka","non-dropping-particle":"","parse-names":false,"suffix":""},{"dropping-particle":"","family":"Vohat","given":"Anushka","non-dropping-particle":"","parse-names":false,"suffix":""},{"dropping-particle":"","family":"Jangid","given":"Neha","non-dropping-particle":"","parse-names":false,"suffix":""},{"dropping-particle":"","family":"Singh","given":"Narpinder","non-dropping-particle":"","parse-names":false,"suffix":""},{"dropping-particle":"","family":"Nishinari","given":"Katsuyoshi","non-dropping-particle":"","parse-names":false,"suffix":""},{"dropping-particle":"","family":"Vlaskin","given":"Mikhail S","non-dropping-particle":"","parse-names":false,"suffix":""},{"dropping-particle":"","family":"Kurbatova","given":"Anna","non-dropping-particle":"","parse-names":false,"suffix":""},{"dropping-particle":"","family":"Kumar","given":"Vinod","non-dropping-particle":"","parse-names":false,"suffix":""}],"container-title":"Food Control","id":"ITEM-1","issued":{"date-parts":[["2025"]]},"page":"111030","title":"Industry 4.0 digital transformation: Shaping the future of food quality","type":"article-journal","volume":"170"},"uris":["http://www.mendeley.com/documents/?uuid=3b7a4e1d-495a-4023-ad77-0e82cb0d3a06"]}],"mendeley":{"formattedCitation":"[8]","plainTextFormattedCitation":"[8]","previouslyFormattedCitation":"[8]"},"properties":{"noteIndex":0},"schema":"https://github.com/citation-style-language/schema/raw/master/csl-citation.json"}</w:instrText>
      </w:r>
      <w:r w:rsidR="007E5C17">
        <w:rPr>
          <w:color w:val="000000"/>
          <w:sz w:val="22"/>
          <w:szCs w:val="22"/>
          <w:lang w:val="sv-SE"/>
        </w:rPr>
        <w:fldChar w:fldCharType="separate"/>
      </w:r>
      <w:r w:rsidR="007E5C17" w:rsidRPr="007E5C17">
        <w:rPr>
          <w:noProof/>
          <w:color w:val="000000"/>
          <w:sz w:val="22"/>
          <w:szCs w:val="22"/>
          <w:lang w:val="sv-SE"/>
        </w:rPr>
        <w:t>[8]</w:t>
      </w:r>
      <w:r w:rsidR="007E5C17">
        <w:rPr>
          <w:color w:val="000000"/>
          <w:sz w:val="22"/>
          <w:szCs w:val="22"/>
          <w:lang w:val="sv-SE"/>
        </w:rPr>
        <w:fldChar w:fldCharType="end"/>
      </w:r>
      <w:r w:rsidRPr="00D918FF">
        <w:rPr>
          <w:color w:val="000000"/>
          <w:sz w:val="22"/>
          <w:szCs w:val="22"/>
          <w:lang w:val="sv-SE"/>
        </w:rPr>
        <w:t>. Dalam konteks pangan, teknologi digital juga mendukung traceability dan transparansi rantai pasok, yang berkontribusi pada peningkatan keamanan pangan</w:t>
      </w:r>
      <w:r w:rsidR="007E5C17">
        <w:rPr>
          <w:color w:val="000000"/>
          <w:sz w:val="22"/>
          <w:szCs w:val="22"/>
          <w:lang w:val="sv-SE"/>
        </w:rPr>
        <w:fldChar w:fldCharType="begin" w:fldLock="1"/>
      </w:r>
      <w:r w:rsidR="007E5C17">
        <w:rPr>
          <w:color w:val="000000"/>
          <w:sz w:val="22"/>
          <w:szCs w:val="22"/>
          <w:lang w:val="sv-SE"/>
        </w:rPr>
        <w:instrText>ADDIN CSL_CITATION {"citationItems":[{"id":"ITEM-1","itemData":{"DOI":"10.1007/s00003-024-01522-8","ISSN":"1661-5867","author":[{"dropping-particle":"","family":"Gottschald","given":"Marion","non-dropping-particle":"","parse-names":false,"suffix":""}],"container-title":"Journal of Consumer Protection and Food Safety","id":"ITEM-1","issue":"3","issued":{"date-parts":[["2024"]]},"page":"257-258","title":"Advancing food safety through digital traceability, interoperability, harmonized data and collaborative partnerships","type":"article-journal","volume":"19"},"uris":["http://www.mendeley.com/documents/?uuid=7ff4cdb4-fbc8-4295-84e4-e4034ce2a0fe"]}],"mendeley":{"formattedCitation":"[9]","plainTextFormattedCitation":"[9]","previouslyFormattedCitation":"[9]"},"properties":{"noteIndex":0},"schema":"https://github.com/citation-style-language/schema/raw/master/csl-citation.json"}</w:instrText>
      </w:r>
      <w:r w:rsidR="007E5C17">
        <w:rPr>
          <w:color w:val="000000"/>
          <w:sz w:val="22"/>
          <w:szCs w:val="22"/>
          <w:lang w:val="sv-SE"/>
        </w:rPr>
        <w:fldChar w:fldCharType="separate"/>
      </w:r>
      <w:r w:rsidR="007E5C17" w:rsidRPr="007E5C17">
        <w:rPr>
          <w:noProof/>
          <w:color w:val="000000"/>
          <w:sz w:val="22"/>
          <w:szCs w:val="22"/>
          <w:lang w:val="sv-SE"/>
        </w:rPr>
        <w:t>[9]</w:t>
      </w:r>
      <w:r w:rsidR="007E5C17">
        <w:rPr>
          <w:color w:val="000000"/>
          <w:sz w:val="22"/>
          <w:szCs w:val="22"/>
          <w:lang w:val="sv-SE"/>
        </w:rPr>
        <w:fldChar w:fldCharType="end"/>
      </w:r>
      <w:r w:rsidRPr="00D918FF">
        <w:rPr>
          <w:color w:val="000000"/>
          <w:sz w:val="22"/>
          <w:szCs w:val="22"/>
          <w:lang w:val="sv-SE"/>
        </w:rPr>
        <w:t>. Kemampuan penelusuran ini penting agar setiap tahap produksi, mulai dari bahan baku hingga produk akhir, dapat dipantau dan diverifikasi kesesuaiannya dengan standar mutu</w:t>
      </w:r>
      <w:r w:rsidR="007E5C17">
        <w:rPr>
          <w:color w:val="000000"/>
          <w:sz w:val="22"/>
          <w:szCs w:val="22"/>
          <w:lang w:val="sv-SE"/>
        </w:rPr>
        <w:fldChar w:fldCharType="begin" w:fldLock="1"/>
      </w:r>
      <w:r w:rsidR="007E5C17">
        <w:rPr>
          <w:color w:val="000000"/>
          <w:sz w:val="22"/>
          <w:szCs w:val="22"/>
          <w:lang w:val="sv-SE"/>
        </w:rPr>
        <w:instrText>ADDIN CSL_CITATION {"citationItems":[{"id":"ITEM-1","itemData":{"DOI":"https://doi.org/10.1016/j.compag.2024.109191","ISSN":"0168-1699","abstract":"It is challenging to gather and track information in a timely and reliable manner since there are numerous phases involved in the manufacture, transportation, and distribution of fresh food products. Currently, the implementation of food supply chain traceability is largely affected by factors such as opaque supply chains, opaque data storage, low third-party trust, difficulties in sharing resource information and incorrect data and information transmission. Blockchain technology provides an immutable and transparent ledger that holds advantages in fresh food quality traceability and dynamic monitoring. This review describes the relationship between blockchain and food quality traceability and dynamic monitoring, and points out current new technologies for food traceability and dynamic monitoring that can provide practical data for blockchain. The current application of blockchain-based fresh food quality tracking is promising as it can help address many of the current issues in the food supply chain, including fresh food safety, dynamic monitoring of the transportation environment, and traceability of fresh food. It could also provide consumers with more detailed and accurate information about the food they consume, which could help them make more informed decisions about what they eat. Overall, the research progress and application prospects for blockchain-based fresh food quality traceability are positive, indicating a bright future for this emerging technology.","author":[{"dropping-particle":"","family":"Yu","given":"Qi","non-dropping-particle":"","parse-names":false,"suffix":""},{"dropping-particle":"","family":"Zhang","given":"Min","non-dropping-particle":"","parse-names":false,"suffix":""},{"dropping-particle":"","family":"Mujumdar","given":"Arun S","non-dropping-particle":"","parse-names":false,"suffix":""}],"container-title":"Computers and Electronics in Agriculture","id":"ITEM-1","issued":{"date-parts":[["2024"]]},"page":"109191","title":"Blockchain-based fresh food quality traceability and dynamic monitoring: Research progress and application perspectives","type":"article-journal","volume":"224"},"uris":["http://www.mendeley.com/documents/?uuid=0da1daa9-d047-4649-8e2a-edc1ab7a1164"]}],"mendeley":{"formattedCitation":"[10]","plainTextFormattedCitation":"[10]","previouslyFormattedCitation":"[10]"},"properties":{"noteIndex":0},"schema":"https://github.com/citation-style-language/schema/raw/master/csl-citation.json"}</w:instrText>
      </w:r>
      <w:r w:rsidR="007E5C17">
        <w:rPr>
          <w:color w:val="000000"/>
          <w:sz w:val="22"/>
          <w:szCs w:val="22"/>
          <w:lang w:val="sv-SE"/>
        </w:rPr>
        <w:fldChar w:fldCharType="separate"/>
      </w:r>
      <w:r w:rsidR="007E5C17" w:rsidRPr="007E5C17">
        <w:rPr>
          <w:noProof/>
          <w:color w:val="000000"/>
          <w:sz w:val="22"/>
          <w:szCs w:val="22"/>
          <w:lang w:val="sv-SE"/>
        </w:rPr>
        <w:t>[10]</w:t>
      </w:r>
      <w:r w:rsidR="007E5C17">
        <w:rPr>
          <w:color w:val="000000"/>
          <w:sz w:val="22"/>
          <w:szCs w:val="22"/>
          <w:lang w:val="sv-SE"/>
        </w:rPr>
        <w:fldChar w:fldCharType="end"/>
      </w:r>
      <w:r w:rsidRPr="00D918FF">
        <w:rPr>
          <w:color w:val="000000"/>
          <w:sz w:val="22"/>
          <w:szCs w:val="22"/>
          <w:lang w:val="sv-SE"/>
        </w:rPr>
        <w:t>.</w:t>
      </w:r>
    </w:p>
    <w:p w14:paraId="7EE9DD80" w14:textId="05A2023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 xml:space="preserve">Pada praktik boga, penerapan teknologi digital masih berkembang, khususnya di lingkungan pendidikan dan produksi skala kecil. Studi menunjukkan bahwa penggunaan sistem pencatatan digital dan pemantauan proses membantu praktisi dalam mengontrol parameter kritis produksi, seperti suhu dan waktu pemasakan </w:t>
      </w:r>
      <w:r w:rsidR="007E5C17">
        <w:rPr>
          <w:color w:val="000000"/>
          <w:sz w:val="22"/>
          <w:szCs w:val="22"/>
          <w:lang w:val="sv-SE"/>
        </w:rPr>
        <w:fldChar w:fldCharType="begin" w:fldLock="1"/>
      </w:r>
      <w:r w:rsidR="007E5C17">
        <w:rPr>
          <w:color w:val="000000"/>
          <w:sz w:val="22"/>
          <w:szCs w:val="22"/>
          <w:lang w:val="sv-SE"/>
        </w:rPr>
        <w:instrText>ADDIN CSL_CITATION {"citationItems":[{"id":"ITEM-1","itemData":{"DOI":"https://doi.org/10.1111/jfpe.14606","ISSN":"0145-8876","abstract":"Abstract This research is driven by the imperative to improve the milk pasteurization process's efficiency and safety within the Industry 5.0 framework. It introduces the artificial intelligence of things (AIoT) into the pasteurization system and focuses on deploying the C4.5 algorithm, anticipated to render precise real-time decisions by analyzing critical temperature and duration data essential for the low-temperature long-time (LTLT) pasteurization technique. Test results indicate that the C4.5 model is highly effective, demonstrating nearly perfect metrics with a precision of .78, a recall of .77, and an F1-score of .73, while achieving an overall algorithm accuracy of .76. In terms of heating control, the double jacket method tested on a 300-L system proved the control design's capability to quickly reach and maintain desired temperatures, hitting the set-point within 70?min. However, it was observed that systems with larger capacities took longer to reach the set-point, suggesting a potential for further optimization. The findings affirm that integrating AIoT into control systems can significantly enhance process efficiency and effectiveness, consistent with the goal of incorporating sophisticated technological solutions in the food sector. Practical Applications The article ?Enhancing Low-Temperature Long-Time Milk Pasteurization Process with a C4.5 Algorithm-Driven AIoT System for Real-Time Decision-Making? explores an AIoT system's potential to revolutionize the dairy industry's pasteurization methods. This system promises enhanced efficiency by optimizing energy and time, thereby reducing costs. It ensures superior quality control through continuous monitoring, maintaining nutritional integrity and safety. The high automation level minimizes human error and operational demands, while predictive maintenance forecasts prevent downtime. The system's scalability supports production expansion with minimal resource increase. Moreover, it guarantees product traceability and compliance with food safety regulations. The generated data offers insights for further supply chain optimizations. This integration of AI and IoT thus presents significant advancements in process management, quality assurance, and scalable operations for the dairy industry.","author":[{"dropping-particle":"","family":"Hadi","given":"Mokh. Sholihul","non-dropping-particle":"","parse-names":false,"suffix":""},{"dropping-particle":"","family":"Sugiono","given":"Bhima Satria Rizki","non-dropping-particle":"","parse-names":false,"suffix":""},{"dropping-particle":"","family":"Mizar","given":"Muhammad Alfian","non-dropping-particle":"","parse-names":false,"suffix":""},{"dropping-particle":"","family":"Witjoro","given":"Agung","non-dropping-particle":"","parse-names":false,"suffix":""},{"dropping-particle":"","family":"Irvan","given":"Mhd","non-dropping-particle":"","parse-names":false,"suffix":""}],"container-title":"Journal of Food Process Engineering","id":"ITEM-1","issue":"4","issued":{"date-parts":[["2024"]]},"page":"e14606","title":"Enhancing low-temperature long-time milk pasteurization process with a C4.5 algorithm-driven AIoT system for real-time decision-making","type":"article-journal","volume":"47"},"uris":["http://www.mendeley.com/documents/?uuid=68c69471-9626-445b-99e1-1a32a7d50546"]}],"mendeley":{"formattedCitation":"[11]","plainTextFormattedCitation":"[11]","previouslyFormattedCitation":"[11]"},"properties":{"noteIndex":0},"schema":"https://github.com/citation-style-language/schema/raw/master/csl-citation.json"}</w:instrText>
      </w:r>
      <w:r w:rsidR="007E5C17">
        <w:rPr>
          <w:color w:val="000000"/>
          <w:sz w:val="22"/>
          <w:szCs w:val="22"/>
          <w:lang w:val="sv-SE"/>
        </w:rPr>
        <w:fldChar w:fldCharType="separate"/>
      </w:r>
      <w:r w:rsidR="007E5C17" w:rsidRPr="007E5C17">
        <w:rPr>
          <w:noProof/>
          <w:color w:val="000000"/>
          <w:sz w:val="22"/>
          <w:szCs w:val="22"/>
          <w:lang w:val="sv-SE"/>
        </w:rPr>
        <w:t>[11]</w:t>
      </w:r>
      <w:r w:rsidR="007E5C17">
        <w:rPr>
          <w:color w:val="000000"/>
          <w:sz w:val="22"/>
          <w:szCs w:val="22"/>
          <w:lang w:val="sv-SE"/>
        </w:rPr>
        <w:fldChar w:fldCharType="end"/>
      </w:r>
      <w:r w:rsidRPr="00D918FF">
        <w:rPr>
          <w:color w:val="000000"/>
          <w:sz w:val="22"/>
          <w:szCs w:val="22"/>
          <w:lang w:val="sv-SE"/>
        </w:rPr>
        <w:t>. Digitalisasi praktik boga dengan demikian dapat dipandang sebagai langkah awal menuju sistem produksi makanan berbasis data.</w:t>
      </w:r>
    </w:p>
    <w:p w14:paraId="6CE37B4C" w14:textId="1AF972E0"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Adopsi teknologi digital pada rantai pasok pangan juga sejalan dengan tren transformasi Industry 4.0 yang lebih luas, yang mencakup integrasi sensor, big data, dan sistem analitik pada berbagai tahap produksi</w:t>
      </w:r>
      <w:r w:rsidR="007E5C17">
        <w:rPr>
          <w:color w:val="000000"/>
          <w:sz w:val="22"/>
          <w:szCs w:val="22"/>
          <w:lang w:val="sv-SE"/>
        </w:rPr>
        <w:fldChar w:fldCharType="begin" w:fldLock="1"/>
      </w:r>
      <w:r w:rsidR="007E5C17">
        <w:rPr>
          <w:color w:val="000000"/>
          <w:sz w:val="22"/>
          <w:szCs w:val="22"/>
          <w:lang w:val="sv-SE"/>
        </w:rPr>
        <w:instrText>ADDIN CSL_CITATION {"citationItems":[{"id":"ITEM-1","itemData":{"DOI":"10.1016/j.heliyon.2024.e39388","ISSN":"2405-8440 (Print)","PMID":"39492883","abstract":"The fourth industrial revolution (Industry 4.0) is driving significant changes  across multiple sectors, including the food industry. This review examines how Industry 4.0 technologies, such as smart sensors, artificial intelligence, robotics, and blockchain, among others, are transforming unit operations within the food sector. These operations, which include preparation, processing/transformation, preservation/stabilization, and packaging and transportation, are crucial for converting raw materials into high-quality food products. By incorporating advanced digital, physical, and biological innovations, Industry 4.0 technologies are enhancing precision, productivity, and environmental responsibility in food production. The review highlights innovative applications and key findings that showcase how these technologies can streamline processes, minimize waste, and improve food product quality. The adoption of Industry 4.0 innovations is increasingly reshaping the way food is prepared, transformed, preserved, packaged, and transported to the final consumer. The work provides a valuable roadmap for various sectors within agriculture and food industries, promoting the adoption of Industry 4.0 solutions to enhance efficiency, quality, and sustainability throughout the entire food supply chain.","author":[{"dropping-particle":"","family":"Hassoun","given":"Abdo","non-dropping-particle":"","parse-names":false,"suffix":""},{"dropping-particle":"","family":"Dankar","given":"Iman","non-dropping-particle":"","parse-names":false,"suffix":""},{"dropping-particle":"","family":"Bhat","given":"Zuhaib","non-dropping-particle":"","parse-names":false,"suffix":""},{"dropping-particle":"","family":"Bouzembrak","given":"Yamine","non-dropping-particle":"","parse-names":false,"suffix":""}],"container-title":"Heliyon","id":"ITEM-1","issue":"20","issued":{"date-parts":[["2024","10"]]},"language":"eng","page":"e39388","publisher-place":"England","title":"Unveiling the relationship between food unit operations and food industry 4.0: A  short review.","type":"article-journal","volume":"10"},"uris":["http://www.mendeley.com/documents/?uuid=646f911f-5e95-42f7-9df7-5db7b4f615d6"]}],"mendeley":{"formattedCitation":"[12]","plainTextFormattedCitation":"[12]","previouslyFormattedCitation":"[12]"},"properties":{"noteIndex":0},"schema":"https://github.com/citation-style-language/schema/raw/master/csl-citation.json"}</w:instrText>
      </w:r>
      <w:r w:rsidR="007E5C17">
        <w:rPr>
          <w:color w:val="000000"/>
          <w:sz w:val="22"/>
          <w:szCs w:val="22"/>
          <w:lang w:val="sv-SE"/>
        </w:rPr>
        <w:fldChar w:fldCharType="separate"/>
      </w:r>
      <w:r w:rsidR="007E5C17" w:rsidRPr="007E5C17">
        <w:rPr>
          <w:noProof/>
          <w:color w:val="000000"/>
          <w:sz w:val="22"/>
          <w:szCs w:val="22"/>
          <w:lang w:val="sv-SE"/>
        </w:rPr>
        <w:t>[12]</w:t>
      </w:r>
      <w:r w:rsidR="007E5C17">
        <w:rPr>
          <w:color w:val="000000"/>
          <w:sz w:val="22"/>
          <w:szCs w:val="22"/>
          <w:lang w:val="sv-SE"/>
        </w:rPr>
        <w:fldChar w:fldCharType="end"/>
      </w:r>
      <w:r w:rsidRPr="00D918FF">
        <w:rPr>
          <w:color w:val="000000"/>
          <w:sz w:val="22"/>
          <w:szCs w:val="22"/>
          <w:lang w:val="sv-SE"/>
        </w:rPr>
        <w:t>. Kerangka kerja Agri-food 4.0 menegaskan bahwa integrasi tersebut perlu mempertimbangkan kesiapan sumber daya manusia dan infrastruktur, agar teknologi benar-benar dapat dimanfaatkan secara optimal pada skala produksi kecil</w:t>
      </w:r>
      <w:r w:rsidR="007E5C17">
        <w:rPr>
          <w:color w:val="000000"/>
          <w:sz w:val="22"/>
          <w:szCs w:val="22"/>
          <w:lang w:val="sv-SE"/>
        </w:rPr>
        <w:fldChar w:fldCharType="begin" w:fldLock="1"/>
      </w:r>
      <w:r w:rsidR="007E5C17">
        <w:rPr>
          <w:color w:val="000000"/>
          <w:sz w:val="22"/>
          <w:szCs w:val="22"/>
          <w:lang w:val="sv-SE"/>
        </w:rPr>
        <w:instrText>ADDIN CSL_CITATION {"citationItems":[{"id":"ITEM-1","itemData":{"DOI":"10.1007/s12063-026-00583-2","ISSN":"1936-9743","abstract":"Small and medium-sized enterprises (SMEs) in the dairy sector are under increasing pressure to adopt Industry 4.0 technologies to enhance competitiveness, operational excellence, and sustainability. The research presents a digital maturity model tailored to the dairy supply chain, encompassing both structural and operational levels. The model was derived from the DREAMY framework and adapted for application to the dairy industry, demonstrating its feasibility. Through extensive literature review and qualitative interviews with industry specialists and academics, this study examines digital readiness across four principal dimensions: monitoring and control, process execution, organization, and technology infrastructure. It has functional sectors, including production, logistics, energy management, maintenance, warehousing, and sustainability. Validating the model through implementation in two Sardinian-based dairy companies substantiated its suitability, versatility, and efficacy in measuring digital maturity and highlighted actionable pathways for improvement. The outcomes reveal industry-specific actions to connect generic maturity models with the real-world practicalities of agrifood SMEs. The previously developed maturity models have remained generic, rather than being specific to dairy SMEs. The present study makes an original contribution by using the DREAMY framework specifically and implementing it with two case studies related to the dairy sector. The model provides managers with concrete guidelines for prioritizing digitalization activities, structuring investments, and synchronizing technology implementation with available resources. By targeting dairy SMEs, the research provides a systematic, adaptable framework that facilitates digital transformation in traditional agrifood sectors and contributes to expanding maturity model theory into underrepresented sectors.","author":[{"dropping-particle":"","family":"Beducci","given":"Elena","non-dropping-particle":"","parse-names":false,"suffix":""},{"dropping-particle":"","family":"Acerbi","given":"Federica","non-dropping-particle":"","parse-names":false,"suffix":""},{"dropping-particle":"","family":"Melesse","given":"Tsega Y","non-dropping-particle":"","parse-names":false,"suffix":""},{"dropping-particle":"","family":"Carolis","given":"Anna","non-dropping-particle":"De","parse-names":false,"suffix":""},{"dropping-particle":"","family":"Orrù","given":"Pier Francesco","non-dropping-particle":"","parse-names":false,"suffix":""}],"container-title":"Operations Management Research","id":"ITEM-1","issue":"1","issued":{"date-parts":[["2026"]]},"page":"16","title":"Assessing industry 4.0 readiness and maturity in the dairy sector: a case study in Sardinia","type":"article-journal","volume":"19"},"uris":["http://www.mendeley.com/documents/?uuid=0dae8c3d-684d-4ccf-9959-d9aff6b69e4d"]}],"mendeley":{"formattedCitation":"[13]","plainTextFormattedCitation":"[13]","previouslyFormattedCitation":"[13]"},"properties":{"noteIndex":0},"schema":"https://github.com/citation-style-language/schema/raw/master/csl-citation.json"}</w:instrText>
      </w:r>
      <w:r w:rsidR="007E5C17">
        <w:rPr>
          <w:color w:val="000000"/>
          <w:sz w:val="22"/>
          <w:szCs w:val="22"/>
          <w:lang w:val="sv-SE"/>
        </w:rPr>
        <w:fldChar w:fldCharType="separate"/>
      </w:r>
      <w:r w:rsidR="007E5C17" w:rsidRPr="007E5C17">
        <w:rPr>
          <w:noProof/>
          <w:color w:val="000000"/>
          <w:sz w:val="22"/>
          <w:szCs w:val="22"/>
          <w:lang w:val="sv-SE"/>
        </w:rPr>
        <w:t>[13]</w:t>
      </w:r>
      <w:r w:rsidR="007E5C17">
        <w:rPr>
          <w:color w:val="000000"/>
          <w:sz w:val="22"/>
          <w:szCs w:val="22"/>
          <w:lang w:val="sv-SE"/>
        </w:rPr>
        <w:fldChar w:fldCharType="end"/>
      </w:r>
      <w:r w:rsidRPr="00D918FF">
        <w:rPr>
          <w:color w:val="000000"/>
          <w:sz w:val="22"/>
          <w:szCs w:val="22"/>
          <w:lang w:val="sv-SE"/>
        </w:rPr>
        <w:t>.</w:t>
      </w:r>
    </w:p>
    <w:p w14:paraId="6DFDFFED" w14:textId="77777777" w:rsidR="00AB6772" w:rsidRDefault="00000000">
      <w:pPr>
        <w:pStyle w:val="Heading2"/>
        <w:numPr>
          <w:ilvl w:val="1"/>
          <w:numId w:val="4"/>
        </w:numPr>
        <w:ind w:left="0" w:hanging="2"/>
        <w:rPr>
          <w:rFonts w:ascii="Tahoma" w:eastAsia="Tahoma" w:hAnsi="Tahoma" w:cs="Tahoma"/>
          <w:color w:val="000000"/>
          <w:sz w:val="22"/>
          <w:szCs w:val="22"/>
        </w:rPr>
      </w:pPr>
      <w:r>
        <w:rPr>
          <w:b/>
          <w:i w:val="0"/>
          <w:color w:val="000000"/>
          <w:sz w:val="22"/>
          <w:szCs w:val="22"/>
        </w:rPr>
        <w:t>Pengambilan Keputusan dalam Produksi Makanan</w:t>
      </w:r>
    </w:p>
    <w:p w14:paraId="445027E6" w14:textId="779B563F"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Sistem pendukung keputusan (decision support system) telah lama digunakan untuk membantu pengambil keputusan mengolah data menjadi rekomendasi tindakan yang lebih terstruktur</w:t>
      </w:r>
      <w:r w:rsidR="007E5C17">
        <w:rPr>
          <w:color w:val="000000"/>
          <w:sz w:val="22"/>
          <w:szCs w:val="22"/>
          <w:lang w:val="sv-SE"/>
        </w:rPr>
        <w:fldChar w:fldCharType="begin" w:fldLock="1"/>
      </w:r>
      <w:r w:rsidR="007E5C17">
        <w:rPr>
          <w:color w:val="000000"/>
          <w:sz w:val="22"/>
          <w:szCs w:val="22"/>
          <w:lang w:val="sv-SE"/>
        </w:rPr>
        <w:instrText>ADDIN CSL_CITATION {"citationItems":[{"id":"ITEM-1","itemData":{"DOI":"https://doi.org/10.1016/j.heliyon.2024.e33116","ISSN":"2405-8440","abstract":"Decision Support Systems (DSS) have emerged as important tools for enhancing community resilience due to their ability to provide timely and efficient solutions to disaster-related problems while reflecting the perspectives of different stakeholders and utilizing multiple data sources. This paper provides a comprehensive summary of DSS applications to community resilience, emphasizing how the different modeling techniques are used in different disaster phases. We found that optimization techniques are the most frequently used methods for building DSS. Furthermore, we found that DSS tend to focus more on the preparedness and response phases of disaster management, rather than the recovery and mitigation phases. Moreover, the study highlights the main challenges in developing and implementing DSS for resilience, such as data availability, the uncertainty of the disaster context, and the need for cross-disciplinary collaboration. Based on the reviewed papers, we provide some guidelines to practitioners to select the most suitable decision-support tools for the needs of their community. The study aims to help decision-makers and researchers build effective decision support systems for enhancing community resilience, considering the current challenges.","author":[{"dropping-particle":"","family":"Elkady","given":"Sahar","non-dropping-particle":"","parse-names":false,"suffix":""},{"dropping-particle":"","family":"Hernantes","given":"Josune","non-dropping-particle":"","parse-names":false,"suffix":""},{"dropping-particle":"","family":"Labaka","given":"Leire","non-dropping-particle":"","parse-names":false,"suffix":""}],"container-title":"Heliyon","id":"ITEM-1","issue":"12","issued":{"date-parts":[["2024"]]},"page":"e33116","title":"Decision-making for community resilience: A review of decision support systems and their applications","type":"article-journal","volume":"10"},"uris":["http://www.mendeley.com/documents/?uuid=0571f768-b4a5-4fe3-88a6-2371203ab47f"]}],"mendeley":{"formattedCitation":"[14]","plainTextFormattedCitation":"[14]","previouslyFormattedCitation":"[14]"},"properties":{"noteIndex":0},"schema":"https://github.com/citation-style-language/schema/raw/master/csl-citation.json"}</w:instrText>
      </w:r>
      <w:r w:rsidR="007E5C17">
        <w:rPr>
          <w:color w:val="000000"/>
          <w:sz w:val="22"/>
          <w:szCs w:val="22"/>
          <w:lang w:val="sv-SE"/>
        </w:rPr>
        <w:fldChar w:fldCharType="separate"/>
      </w:r>
      <w:r w:rsidR="007E5C17" w:rsidRPr="007E5C17">
        <w:rPr>
          <w:noProof/>
          <w:color w:val="000000"/>
          <w:sz w:val="22"/>
          <w:szCs w:val="22"/>
          <w:lang w:val="sv-SE"/>
        </w:rPr>
        <w:t>[14]</w:t>
      </w:r>
      <w:r w:rsidR="007E5C17">
        <w:rPr>
          <w:color w:val="000000"/>
          <w:sz w:val="22"/>
          <w:szCs w:val="22"/>
          <w:lang w:val="sv-SE"/>
        </w:rPr>
        <w:fldChar w:fldCharType="end"/>
      </w:r>
      <w:r w:rsidRPr="00D918FF">
        <w:rPr>
          <w:color w:val="000000"/>
          <w:sz w:val="22"/>
          <w:szCs w:val="22"/>
          <w:lang w:val="sv-SE"/>
        </w:rPr>
        <w:t>. Dalam konteks bisnis dan intelijen analitik, sistem semacam ini memungkinkan integrasi data dari berbagai sumber untuk mendukung keputusan operasional maupun strategis</w:t>
      </w:r>
      <w:r w:rsidR="007E5C17">
        <w:rPr>
          <w:color w:val="000000"/>
          <w:sz w:val="22"/>
          <w:szCs w:val="22"/>
          <w:lang w:val="sv-SE"/>
        </w:rPr>
        <w:fldChar w:fldCharType="begin" w:fldLock="1"/>
      </w:r>
      <w:r w:rsidR="007E5C17">
        <w:rPr>
          <w:color w:val="000000"/>
          <w:sz w:val="22"/>
          <w:szCs w:val="22"/>
          <w:lang w:val="sv-SE"/>
        </w:rPr>
        <w:instrText>ADDIN CSL_CITATION {"citationItems":[{"id":"ITEM-1","itemData":{"DOI":"10.1007/s10257-023-00661-z","ISSN":"1617-9854","abstract":"Business analytics is considered in research and practice as a promising approach to support organizations in the increasing complexity and dynamics in the strategic planning and decision making, which arise for example through the integration of product-service systems. However, literature is lacking a comprehensive analysis to what extant business analytics supports the strategic planning and decision making. Thus, coming from the affordance and socio-technical system theory, we are linking business analytics affordances to strategic planning outcomes. In doing so, we identified 20 affordances which we have assigned to the dimensions of the socio-technology system theory. Based on this, we have derived implications and propositions for research and practice. The results can be used as guidelines for practice and directions for future research.","author":[{"dropping-particle":"","family":"Kurpiela","given":"Steffen","non-dropping-particle":"","parse-names":false,"suffix":""},{"dropping-particle":"","family":"Teuteberg","given":"Frank","non-dropping-particle":"","parse-names":false,"suffix":""}],"container-title":"Information Systems and e-Business Management","id":"ITEM-1","issue":"1","issued":{"date-parts":[["2024"]]},"page":"33-60","title":"Linking business analytics affordances to corporate strategic planning and decision making outcomes","type":"article-journal","volume":"22"},"uris":["http://www.mendeley.com/documents/?uuid=704b8fe5-6c20-4618-b3a8-1f52e8430f30"]}],"mendeley":{"formattedCitation":"[15]","plainTextFormattedCitation":"[15]","previouslyFormattedCitation":"[15]"},"properties":{"noteIndex":0},"schema":"https://github.com/citation-style-language/schema/raw/master/csl-citation.json"}</w:instrText>
      </w:r>
      <w:r w:rsidR="007E5C17">
        <w:rPr>
          <w:color w:val="000000"/>
          <w:sz w:val="22"/>
          <w:szCs w:val="22"/>
          <w:lang w:val="sv-SE"/>
        </w:rPr>
        <w:fldChar w:fldCharType="separate"/>
      </w:r>
      <w:r w:rsidR="007E5C17" w:rsidRPr="007E5C17">
        <w:rPr>
          <w:noProof/>
          <w:color w:val="000000"/>
          <w:sz w:val="22"/>
          <w:szCs w:val="22"/>
          <w:lang w:val="sv-SE"/>
        </w:rPr>
        <w:t>[15]</w:t>
      </w:r>
      <w:r w:rsidR="007E5C17">
        <w:rPr>
          <w:color w:val="000000"/>
          <w:sz w:val="22"/>
          <w:szCs w:val="22"/>
          <w:lang w:val="sv-SE"/>
        </w:rPr>
        <w:fldChar w:fldCharType="end"/>
      </w:r>
      <w:r w:rsidRPr="00D918FF">
        <w:rPr>
          <w:color w:val="000000"/>
          <w:sz w:val="22"/>
          <w:szCs w:val="22"/>
          <w:lang w:val="sv-SE"/>
        </w:rPr>
        <w:t>.</w:t>
      </w:r>
    </w:p>
    <w:p w14:paraId="521785AF" w14:textId="4CFB6475" w:rsidR="00AB6772" w:rsidRPr="000D787A"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rPr>
      </w:pPr>
      <w:r w:rsidRPr="00D918FF">
        <w:rPr>
          <w:color w:val="000000"/>
          <w:sz w:val="22"/>
          <w:szCs w:val="22"/>
          <w:lang w:val="sv-SE"/>
        </w:rPr>
        <w:t>Transparansi merupakan aspek penting dalam sistem pengambilan keputusan berbasis machine learning, terutama ketika sistem tersebut digunakan pada konteks yang berdampak langsung terhadap individu atau masyarakat. Kurangnya transparansi dapat menyulitkan pengguna dalam memahami dasar keputusan yang dihasilkan, serta menghambat proses evaluasi dan pengawasan terhadap sistem</w:t>
      </w:r>
      <w:r w:rsidR="007E5C17">
        <w:rPr>
          <w:color w:val="000000"/>
          <w:sz w:val="22"/>
          <w:szCs w:val="22"/>
          <w:lang w:val="sv-SE"/>
        </w:rPr>
        <w:fldChar w:fldCharType="begin" w:fldLock="1"/>
      </w:r>
      <w:r w:rsidR="007E5C17">
        <w:rPr>
          <w:color w:val="000000"/>
          <w:sz w:val="22"/>
          <w:szCs w:val="22"/>
          <w:lang w:val="sv-SE"/>
        </w:rPr>
        <w:instrText>ADDIN CSL_CITATION {"citationItems":[{"id":"ITEM-1","itemData":{"ISSN":"2673-2726","abstract":"The rapid integration of artificial intelligence (AI) systems into various domains has raised concerns about their impact on individual and societal well-being, particularly due to the lack of transparency and accountability in their decision-making processes. This review aims to provide an overview of the key legal and ethical challenges associated with implementing transparency and accountability in AI systems. The review identifies four main thematic areas: technical approaches, legal and regulatory frameworks, ethical and societal considerations, and interdisciplinary and multistakeholder approaches. By synthesising the current state of research and proposing key strategies for policymakers, this review contributes to the ongoing discourse on responsible AI governance and lays the foundation for future research in this critical area. Ultimately, the goal is to promote individual and societal well-being by ensuring that AI systems are developed and deployed in a transparent, accountable, and ethical manner.","author":[{"dropping-particle":"","family":"Cheong","given":"Ben Chester","non-dropping-particle":"","parse-names":false,"suffix":""}],"container-title":"Frontiers in Human Dynamics","id":"ITEM-1","issued":{"date-parts":[["2024"]]},"title":"Transparency and accountability in AI systems: safeguarding wellbeing in the age of algorithmic decision-making","type":"article-journal","volume":"Volume 6 - 2024"},"uris":["http://www.mendeley.com/documents/?uuid=53db1d2f-aed8-4ef4-b93c-ba65da4adde2"]}],"mendeley":{"formattedCitation":"[16]","plainTextFormattedCitation":"[16]","previouslyFormattedCitation":"[16]"},"properties":{"noteIndex":0},"schema":"https://github.com/citation-style-language/schema/raw/master/csl-citation.json"}</w:instrText>
      </w:r>
      <w:r w:rsidR="007E5C17">
        <w:rPr>
          <w:color w:val="000000"/>
          <w:sz w:val="22"/>
          <w:szCs w:val="22"/>
          <w:lang w:val="sv-SE"/>
        </w:rPr>
        <w:fldChar w:fldCharType="separate"/>
      </w:r>
      <w:r w:rsidR="007E5C17" w:rsidRPr="007E5C17">
        <w:rPr>
          <w:noProof/>
          <w:color w:val="000000"/>
          <w:sz w:val="22"/>
          <w:szCs w:val="22"/>
          <w:lang w:val="sv-SE"/>
        </w:rPr>
        <w:t>[16]</w:t>
      </w:r>
      <w:r w:rsidR="007E5C17">
        <w:rPr>
          <w:color w:val="000000"/>
          <w:sz w:val="22"/>
          <w:szCs w:val="22"/>
          <w:lang w:val="sv-SE"/>
        </w:rPr>
        <w:fldChar w:fldCharType="end"/>
      </w:r>
      <w:r w:rsidR="007E5C17">
        <w:rPr>
          <w:color w:val="000000"/>
          <w:sz w:val="22"/>
          <w:szCs w:val="22"/>
          <w:lang w:val="sv-SE"/>
        </w:rPr>
        <w:fldChar w:fldCharType="begin" w:fldLock="1"/>
      </w:r>
      <w:r w:rsidR="007C6C6A">
        <w:rPr>
          <w:color w:val="000000"/>
          <w:sz w:val="22"/>
          <w:szCs w:val="22"/>
          <w:lang w:val="sv-SE"/>
        </w:rPr>
        <w:instrText>ADDIN CSL_CITATION {"citationItems":[{"id":"ITEM-1","itemData":{"DOI":"https://doi.org/10.1016/j.knosys.2023.110273","ISSN":"0950-7051","abstract":"The past decade has seen significant progress in artificial intelligence (AI), which has resulted in algorithms being adopted for resolving a variety of problems. However, this success has been met by increasing model complexity and employing black-box AI models that lack transparency. In response to this need, Explainable AI (XAI) has been proposed to make AI more transparent and thus advance the ad</w:instrText>
      </w:r>
      <w:r w:rsidR="007C6C6A" w:rsidRPr="000D787A">
        <w:rPr>
          <w:color w:val="000000"/>
          <w:sz w:val="22"/>
          <w:szCs w:val="22"/>
        </w:rPr>
        <w:instrText>option of AI in critical domains. Although there are several reviews of XAI topics in the literature that have identified challenges and potential research directions of XAI, these challenges and research directions are scattered. This study, hence, presents a systematic meta-survey of challenges and future research directions in XAI organized in two themes: (1) general challenges and research directions of XAI and (2) challenges and research directions of XAI based on machine learning life cycle’s phases: design, development, and deployment. We believe that our meta-survey contributes to XAI literature by providing a guide for future exploration in the XAI area.","author":[{"dropping-particle":"","family":"Saeed","given":"Waddah","non-dropping-particle":"","parse-names":false,"suffix":""},{"dropping-particle":"","family":"Omlin","given":"Christian","non-dropping-particle":"","parse-names":false,"suffix":""}],"container-title":"Knowledge-Based Systems","id":"ITEM-1","issued":{"date-parts":[["2023"]]},"page":"110273","title":"Explainable AI (XAI): A systematic meta-survey of current challenges and future opportunities","type":"article-journal","volume":"263"},"uris":["http://www.mendeley.com/documents/?uuid=9b80f080-9eaa-4155-bc02-bb567cd9d30c"]}],"mendeley":{"formattedCitation":"[17]","plainTextFormattedCitation":"[17]","previouslyFormattedCitation":"[17]"},"properties":{"noteIndex":0},"schema":"https://github.com/citation-style-language/schema/raw/master/csl-citation.json"}</w:instrText>
      </w:r>
      <w:r w:rsidR="007E5C17">
        <w:rPr>
          <w:color w:val="000000"/>
          <w:sz w:val="22"/>
          <w:szCs w:val="22"/>
          <w:lang w:val="sv-SE"/>
        </w:rPr>
        <w:fldChar w:fldCharType="separate"/>
      </w:r>
      <w:r w:rsidR="007E5C17" w:rsidRPr="000D787A">
        <w:rPr>
          <w:noProof/>
          <w:color w:val="000000"/>
          <w:sz w:val="22"/>
          <w:szCs w:val="22"/>
        </w:rPr>
        <w:t>[17]</w:t>
      </w:r>
      <w:r w:rsidR="007E5C17">
        <w:rPr>
          <w:color w:val="000000"/>
          <w:sz w:val="22"/>
          <w:szCs w:val="22"/>
          <w:lang w:val="sv-SE"/>
        </w:rPr>
        <w:fldChar w:fldCharType="end"/>
      </w:r>
      <w:r w:rsidRPr="000D787A">
        <w:rPr>
          <w:color w:val="000000"/>
          <w:sz w:val="22"/>
          <w:szCs w:val="22"/>
        </w:rPr>
        <w:t>.</w:t>
      </w:r>
    </w:p>
    <w:p w14:paraId="6B707053" w14:textId="149C25C6"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proofErr w:type="spellStart"/>
      <w:r>
        <w:rPr>
          <w:color w:val="000000"/>
          <w:sz w:val="22"/>
          <w:szCs w:val="22"/>
        </w:rPr>
        <w:t>Selain</w:t>
      </w:r>
      <w:proofErr w:type="spellEnd"/>
      <w:r>
        <w:rPr>
          <w:color w:val="000000"/>
          <w:sz w:val="22"/>
          <w:szCs w:val="22"/>
        </w:rPr>
        <w:t xml:space="preserve"> </w:t>
      </w:r>
      <w:proofErr w:type="spellStart"/>
      <w:r>
        <w:rPr>
          <w:color w:val="000000"/>
          <w:sz w:val="22"/>
          <w:szCs w:val="22"/>
        </w:rPr>
        <w:t>transparansi</w:t>
      </w:r>
      <w:proofErr w:type="spellEnd"/>
      <w:r>
        <w:rPr>
          <w:color w:val="000000"/>
          <w:sz w:val="22"/>
          <w:szCs w:val="22"/>
        </w:rPr>
        <w:t xml:space="preserve">, fairness </w:t>
      </w:r>
      <w:proofErr w:type="spellStart"/>
      <w:r>
        <w:rPr>
          <w:color w:val="000000"/>
          <w:sz w:val="22"/>
          <w:szCs w:val="22"/>
        </w:rPr>
        <w:t>atau</w:t>
      </w:r>
      <w:proofErr w:type="spellEnd"/>
      <w:r>
        <w:rPr>
          <w:color w:val="000000"/>
          <w:sz w:val="22"/>
          <w:szCs w:val="22"/>
        </w:rPr>
        <w:t xml:space="preserve"> </w:t>
      </w:r>
      <w:proofErr w:type="spellStart"/>
      <w:r>
        <w:rPr>
          <w:color w:val="000000"/>
          <w:sz w:val="22"/>
          <w:szCs w:val="22"/>
        </w:rPr>
        <w:t>keadilan</w:t>
      </w:r>
      <w:proofErr w:type="spellEnd"/>
      <w:r>
        <w:rPr>
          <w:color w:val="000000"/>
          <w:sz w:val="22"/>
          <w:szCs w:val="22"/>
        </w:rPr>
        <w:t xml:space="preserve"> </w:t>
      </w:r>
      <w:proofErr w:type="spellStart"/>
      <w:r>
        <w:rPr>
          <w:color w:val="000000"/>
          <w:sz w:val="22"/>
          <w:szCs w:val="22"/>
        </w:rPr>
        <w:t>menjadi</w:t>
      </w:r>
      <w:proofErr w:type="spellEnd"/>
      <w:r>
        <w:rPr>
          <w:color w:val="000000"/>
          <w:sz w:val="22"/>
          <w:szCs w:val="22"/>
        </w:rPr>
        <w:t xml:space="preserve"> </w:t>
      </w:r>
      <w:proofErr w:type="spellStart"/>
      <w:r>
        <w:rPr>
          <w:color w:val="000000"/>
          <w:sz w:val="22"/>
          <w:szCs w:val="22"/>
        </w:rPr>
        <w:t>isu</w:t>
      </w:r>
      <w:proofErr w:type="spellEnd"/>
      <w:r>
        <w:rPr>
          <w:color w:val="000000"/>
          <w:sz w:val="22"/>
          <w:szCs w:val="22"/>
        </w:rPr>
        <w:t xml:space="preserve"> </w:t>
      </w:r>
      <w:proofErr w:type="spellStart"/>
      <w:r>
        <w:rPr>
          <w:color w:val="000000"/>
          <w:sz w:val="22"/>
          <w:szCs w:val="22"/>
        </w:rPr>
        <w:t>krusial</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w:t>
      </w:r>
      <w:proofErr w:type="spellStart"/>
      <w:r>
        <w:rPr>
          <w:color w:val="000000"/>
          <w:sz w:val="22"/>
          <w:szCs w:val="22"/>
        </w:rPr>
        <w:t>pemanfaatan</w:t>
      </w:r>
      <w:proofErr w:type="spellEnd"/>
      <w:r>
        <w:rPr>
          <w:color w:val="000000"/>
          <w:sz w:val="22"/>
          <w:szCs w:val="22"/>
        </w:rPr>
        <w:t xml:space="preserve"> machine learning. </w:t>
      </w:r>
      <w:r w:rsidRPr="00D918FF">
        <w:rPr>
          <w:color w:val="000000"/>
          <w:sz w:val="22"/>
          <w:szCs w:val="22"/>
          <w:lang w:val="sv-SE"/>
        </w:rPr>
        <w:t xml:space="preserve">Bias dalam model dapat muncul akibat </w:t>
      </w:r>
      <w:r w:rsidRPr="00D918FF">
        <w:rPr>
          <w:color w:val="000000"/>
          <w:sz w:val="22"/>
          <w:szCs w:val="22"/>
          <w:lang w:val="sv-SE"/>
        </w:rPr>
        <w:lastRenderedPageBreak/>
        <w:t>ketidakseimbangan data, representasi fitur yang tidak memadai, maupun proses pembelajaran model itu sendiri. Literatur terkini menunjukkan bahwa bias algoritmik dapat berdampak signifikan terhadap kelompok tertentu jika tidak dievaluasi secara memadai</w:t>
      </w:r>
      <w:r w:rsidR="007C6C6A">
        <w:rPr>
          <w:color w:val="000000"/>
          <w:sz w:val="22"/>
          <w:szCs w:val="22"/>
          <w:lang w:val="sv-SE"/>
        </w:rPr>
        <w:fldChar w:fldCharType="begin" w:fldLock="1"/>
      </w:r>
      <w:r w:rsidR="007C6C6A">
        <w:rPr>
          <w:color w:val="000000"/>
          <w:sz w:val="22"/>
          <w:szCs w:val="22"/>
          <w:lang w:val="sv-SE"/>
        </w:rPr>
        <w:instrText>ADDIN CSL_CITATION {"citationItems":[{"id":"ITEM-1","itemData":{"DOI":"10.1016/j.jclinepi.2024.111606","ISSN":"0895-4356","abstract":"Background and ObjectivesClinical machine learning (ML) technologies can sometimes be biased and their use could exacerbate health disparities. The extent to which bias is present, the groups who most frequently experience bias, and the mechanism through which bias is introduced in clinical ML applications is not well described. The objective of this study was to examine instances of bias in clinical ML models. We identified the sociodemographic subgroups PROGRESS that experienced bias and the reported mechanisms of bias introduction.","author":[{"dropping-particle":"","family":"Colacci","given":"Michael","non-dropping-particle":"","parse-names":false,"suffix":""},{"dropping-particle":"","family":"Huang","given":"Yu Qing","non-dropping-particle":"","parse-names":false,"suffix":""},{"dropping-particle":"","family":"Postill","given":"Gemma","non-dropping-particle":"","parse-names":false,"suffix":""},{"dropping-particle":"","family":"Zhelnov","given":"Pavel","non-dropping-particle":"","parse-names":false,"suffix":""},{"dropping-particle":"","family":"Fennelly","given":"Orna","non-dropping-particle":"","parse-names":false,"suffix":""},{"dropping-particle":"","family":"Verma","given":"Amol","non-dropping-particle":"","parse-names":false,"suffix":""},{"dropping-particle":"","family":"Straus","given":"Sharon","non-dropping-particle":"","parse-names":false,"suffix":""},{"dropping-particle":"","family":"Tricco","given":"Andrea C","non-dropping-particle":"","parse-names":false,"suffix":""}],"container-title":"Journal of Clinical Epidemiology","id":"ITEM-1","issued":{"date-parts":[["2025","2","1"]]},"note":"doi: 10.1016/j.jclinepi.2024.111606","publisher":"Elsevier","title":"Sociodemographic bias in clinical machine learning models: a scoping review of algorithmic bias instances and mechanisms","type":"article-journal","volume":"178"},"uris":["http://www.mendeley.com/documents/?uuid=88ed2c6d-898e-46c9-9bdd-f497ca5b1317"]}],"mendeley":{"formattedCitation":"[18]","plainTextFormattedCitation":"[18]","previouslyFormattedCitation":"[18]"},"properties":{"noteIndex":0},"schema":"https://github.com/citation-style-language/schema/raw/master/csl-citation.json"}</w:instrText>
      </w:r>
      <w:r w:rsidR="007C6C6A">
        <w:rPr>
          <w:color w:val="000000"/>
          <w:sz w:val="22"/>
          <w:szCs w:val="22"/>
          <w:lang w:val="sv-SE"/>
        </w:rPr>
        <w:fldChar w:fldCharType="separate"/>
      </w:r>
      <w:r w:rsidR="007C6C6A" w:rsidRPr="007C6C6A">
        <w:rPr>
          <w:noProof/>
          <w:color w:val="000000"/>
          <w:sz w:val="22"/>
          <w:szCs w:val="22"/>
          <w:lang w:val="sv-SE"/>
        </w:rPr>
        <w:t>[18]</w:t>
      </w:r>
      <w:r w:rsidR="007C6C6A">
        <w:rPr>
          <w:color w:val="000000"/>
          <w:sz w:val="22"/>
          <w:szCs w:val="22"/>
          <w:lang w:val="sv-SE"/>
        </w:rPr>
        <w:fldChar w:fldCharType="end"/>
      </w:r>
      <w:r w:rsidRPr="00D918FF">
        <w:rPr>
          <w:color w:val="000000"/>
          <w:sz w:val="22"/>
          <w:szCs w:val="22"/>
          <w:lang w:val="sv-SE"/>
        </w:rPr>
        <w:t xml:space="preserve">. Oleh karena itu, upaya untuk meningkatkan transparansi dan fairness perlu menjadi perhatian utama dalam pengembangan sistem pengambilan keputusan berbasis machine learning, termasuk pada sistem pendukung keputusan produksi pangan </w:t>
      </w:r>
      <w:r w:rsidR="007C6C6A">
        <w:rPr>
          <w:color w:val="000000"/>
          <w:sz w:val="22"/>
          <w:szCs w:val="22"/>
          <w:lang w:val="sv-SE"/>
        </w:rPr>
        <w:fldChar w:fldCharType="begin" w:fldLock="1"/>
      </w:r>
      <w:r w:rsidR="007C6C6A">
        <w:rPr>
          <w:color w:val="000000"/>
          <w:sz w:val="22"/>
          <w:szCs w:val="22"/>
          <w:lang w:val="sv-SE"/>
        </w:rPr>
        <w:instrText>ADDIN CSL_CITATION {"citationItems":[{"id":"ITEM-1","itemData":{"ISSN":"2673-2726","abstract":"The rapid integration of artificial intelligence (AI) systems into various domains has raised concerns about their impact on individual and societal well-being, particularly due to the lack of transparency and accountability in their decision-making processes. This review aims to provide an overview of the key legal and ethical challenges associated with implementing transparency and accountability in AI systems. The review identifies four main thematic areas: technical approaches, legal and regulatory frameworks, ethical and societal considerations, and interdisciplinary and multistakeholder approaches. By synthesising the current state of research and proposing key strategies for policymakers, this review contributes to the ongoing discourse on responsible AI governance and lays the foundation for future research in this critical area. Ultimately, the goal is to promote individual and societal well-being by ensuring that AI systems are developed and deployed in a transparent, accountable, and ethical manner.","author":[{"dropping-particle":"","family":"Cheong","given":"Ben Chester","non-dropping-particle":"","parse-names":false,"suffix":""}],"container-title":"Frontiers in Human Dynamics","id":"ITEM-1","issued":{"date-parts":[["2024"]]},"title":"Transparency and accountability in AI systems: safeguarding wellbeing in the age of algorithmic decision-making","type":"article-journal","volume":"Volume 6 - 2024"},"uris":["http://www.mendeley.com/documents/?uuid=53db1d2f-aed8-4ef4-b93c-ba65da4adde2"]}],"mendeley":{"formattedCitation":"[16]","plainTextFormattedCitation":"[16]","previouslyFormattedCitation":"[16]"},"properties":{"noteIndex":0},"schema":"https://github.com/citation-style-language/schema/raw/master/csl-citation.json"}</w:instrText>
      </w:r>
      <w:r w:rsidR="007C6C6A">
        <w:rPr>
          <w:color w:val="000000"/>
          <w:sz w:val="22"/>
          <w:szCs w:val="22"/>
          <w:lang w:val="sv-SE"/>
        </w:rPr>
        <w:fldChar w:fldCharType="separate"/>
      </w:r>
      <w:r w:rsidR="007C6C6A" w:rsidRPr="007C6C6A">
        <w:rPr>
          <w:noProof/>
          <w:color w:val="000000"/>
          <w:sz w:val="22"/>
          <w:szCs w:val="22"/>
          <w:lang w:val="sv-SE"/>
        </w:rPr>
        <w:t>[16]</w:t>
      </w:r>
      <w:r w:rsidR="007C6C6A">
        <w:rPr>
          <w:color w:val="000000"/>
          <w:sz w:val="22"/>
          <w:szCs w:val="22"/>
          <w:lang w:val="sv-SE"/>
        </w:rPr>
        <w:fldChar w:fldCharType="end"/>
      </w:r>
      <w:r w:rsidRPr="00D918FF">
        <w:rPr>
          <w:color w:val="000000"/>
          <w:sz w:val="22"/>
          <w:szCs w:val="22"/>
          <w:lang w:val="sv-SE"/>
        </w:rPr>
        <w:t>.</w:t>
      </w:r>
    </w:p>
    <w:p w14:paraId="5392139E" w14:textId="77777777" w:rsidR="00AB6772" w:rsidRPr="000D787A" w:rsidRDefault="00000000">
      <w:pPr>
        <w:pStyle w:val="Heading2"/>
        <w:numPr>
          <w:ilvl w:val="1"/>
          <w:numId w:val="4"/>
        </w:numPr>
        <w:ind w:left="0" w:hanging="2"/>
        <w:rPr>
          <w:rFonts w:ascii="Tahoma" w:eastAsia="Tahoma" w:hAnsi="Tahoma" w:cs="Tahoma"/>
          <w:color w:val="000000"/>
          <w:sz w:val="22"/>
          <w:szCs w:val="22"/>
          <w:lang w:val="sv-SE"/>
        </w:rPr>
      </w:pPr>
      <w:r w:rsidRPr="000D787A">
        <w:rPr>
          <w:b/>
          <w:i w:val="0"/>
          <w:color w:val="000000"/>
          <w:sz w:val="22"/>
          <w:szCs w:val="22"/>
          <w:lang w:val="sv-SE"/>
        </w:rPr>
        <w:t>Pembelajaran Mesin Ringan dalam Sistem Pendukung Keputusan</w:t>
      </w:r>
    </w:p>
    <w:p w14:paraId="26076ACB" w14:textId="0B7C01DA"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Pembelajaran mesin merupakan metode analitik data yang digunakan untuk mengidentifikasi pola dan hubungan antarvariabel. Dalam konteks penelitian terapan, pembelajaran mesin ringan lebih sesuai karena mudah diimplementasikan dan diinterpretasikan</w:t>
      </w:r>
      <w:r w:rsidR="007C6C6A">
        <w:rPr>
          <w:color w:val="000000"/>
          <w:sz w:val="22"/>
          <w:szCs w:val="22"/>
          <w:lang w:val="sv-SE"/>
        </w:rPr>
        <w:fldChar w:fldCharType="begin" w:fldLock="1"/>
      </w:r>
      <w:r w:rsidR="007C6C6A">
        <w:rPr>
          <w:color w:val="000000"/>
          <w:sz w:val="22"/>
          <w:szCs w:val="22"/>
          <w:lang w:val="sv-SE"/>
        </w:rPr>
        <w:instrText>ADDIN CSL_CITATION {"citationItems":[{"id":"ITEM-1","itemData":{"DOI":"10.1007/s10639-024-12704-0","ISSN":"1573-7608","abstract":"Integrating machine learning (ML) methods in educational research has the potential to greatly impact upon research, teaching, learning and assessment by enabling personalised learning, adaptive assessment and providing insights into student performance, progress and learning patterns. To reveal more about this notion, we investigated ML approaches used for educational data analysis in the last decade and provided recommendations for further research. Using a systematic literature review (SLR), we examined 77 publications from two large and high-impact databases for educational research using bibliometric mapping and evaluative review analysis. Our results suggest that the top five most frequently used keywords were similar in both databases. The majority of the publications (88%) utilised supervised ML approaches for predicting students’ performances and finding learning patterns. These methods include decision trees, support vector machines, random forests, and logistic regression. Semi-supervised learning methods were less frequently used, but also demonstrated promising results in predicting students’ performance. Finally, we discuss the implications of these results for statisticians, researchers, and policymakers in education.","author":[{"dropping-particle":"","family":"Ersozlu","given":"Zara","non-dropping-particle":"","parse-names":false,"suffix":""},{"dropping-particle":"","family":"Taheri","given":"Sona","non-dropping-particle":"","parse-names":false,"suffix":""},{"dropping-particle":"","family":"Koch","given":"Inge","non-dropping-particle":"","parse-names":false,"suffix":""}],"container-title":"Education and Information Technologies","id":"ITEM-1","issue":"16","issued":{"date-parts":[["2024"]]},"page":"22125-22145","title":"A review of machine learning methods used for educational data","type":"article-journal","volume":"29"},"uris":["http://www.mendeley.com/documents/?uuid=c0933bbf-cf32-495d-b775-cf7822608176"]}],"mendeley":{"formattedCitation":"[19]","plainTextFormattedCitation":"[19]","previouslyFormattedCitation":"[19]"},"properties":{"noteIndex":0},"schema":"https://github.com/citation-style-language/schema/raw/master/csl-citation.json"}</w:instrText>
      </w:r>
      <w:r w:rsidR="007C6C6A">
        <w:rPr>
          <w:color w:val="000000"/>
          <w:sz w:val="22"/>
          <w:szCs w:val="22"/>
          <w:lang w:val="sv-SE"/>
        </w:rPr>
        <w:fldChar w:fldCharType="separate"/>
      </w:r>
      <w:r w:rsidR="007C6C6A" w:rsidRPr="007C6C6A">
        <w:rPr>
          <w:noProof/>
          <w:color w:val="000000"/>
          <w:sz w:val="22"/>
          <w:szCs w:val="22"/>
          <w:lang w:val="sv-SE"/>
        </w:rPr>
        <w:t>[19]</w:t>
      </w:r>
      <w:r w:rsidR="007C6C6A">
        <w:rPr>
          <w:color w:val="000000"/>
          <w:sz w:val="22"/>
          <w:szCs w:val="22"/>
          <w:lang w:val="sv-SE"/>
        </w:rPr>
        <w:fldChar w:fldCharType="end"/>
      </w:r>
      <w:r w:rsidRPr="00D918FF">
        <w:rPr>
          <w:color w:val="000000"/>
          <w:sz w:val="22"/>
          <w:szCs w:val="22"/>
          <w:lang w:val="sv-SE"/>
        </w:rPr>
        <w:t>. Salah satu metode yang umum digunakan adalah decision tree, yang merepresentasikan proses pengambilan keputusan dalam struktur yang mudah dipahami</w:t>
      </w:r>
      <w:r w:rsidR="007C6C6A">
        <w:rPr>
          <w:color w:val="000000"/>
          <w:sz w:val="22"/>
          <w:szCs w:val="22"/>
          <w:lang w:val="sv-SE"/>
        </w:rPr>
        <w:fldChar w:fldCharType="begin" w:fldLock="1"/>
      </w:r>
      <w:r w:rsidR="007C6C6A">
        <w:rPr>
          <w:color w:val="000000"/>
          <w:sz w:val="22"/>
          <w:szCs w:val="22"/>
          <w:lang w:val="sv-SE"/>
        </w:rPr>
        <w:instrText>ADDIN CSL_CITATION {"citationItems":[{"id":"ITEM-1","itemData":{"ISSN":"2624-8212","abstract":"This article provides a birds-eye view on the role of decision trees in machine learning and data science over roughly four decades. It sketches the evolution of decision tree research over the years, describes the broader context in which the research is situated, and summarizes strengths and weaknesses of decision trees in this context. The main goal of the article is to clarify the broad relevance to machine learning and artificial intelligence, both practical and theoretical, that decision trees still have today.","author":[{"dropping-particle":"","family":"Blockeel","given":"Hendrik","non-dropping-particle":"","parse-names":false,"suffix":""},{"dropping-particle":"","family":"Devos","given":"Laurens","non-dropping-particle":"","parse-names":false,"suffix":""},{"dropping-particle":"","family":"Frénay","given":"Benoît","non-dropping-particle":"","parse-names":false,"suffix":""},{"dropping-particle":"","family":"Nanfack","given":"Géraldin","non-dropping-particle":"","parse-names":false,"suffix":""},{"dropping-particle":"","family":"Nijssen","given":"Siegfried","non-dropping-particle":"","parse-names":false,"suffix":""}],"container-title":"Frontiers in Artificial Intelligence","id":"ITEM-1","issued":{"date-parts":[["2023"]]},"title":"Decision trees: from efficient prediction to responsible AI","type":"article-journal","volume":"Volume 6 - 2023"},"uris":["http://www.mendeley.com/documents/?uuid=66f28345-d92c-4170-9116-11a77db32e68"]}],"mendeley":{"formattedCitation":"[20]","plainTextFormattedCitation":"[20]","previouslyFormattedCitation":"[20]"},"properties":{"noteIndex":0},"schema":"https://github.com/citation-style-language/schema/raw/master/csl-citation.json"}</w:instrText>
      </w:r>
      <w:r w:rsidR="007C6C6A">
        <w:rPr>
          <w:color w:val="000000"/>
          <w:sz w:val="22"/>
          <w:szCs w:val="22"/>
          <w:lang w:val="sv-SE"/>
        </w:rPr>
        <w:fldChar w:fldCharType="separate"/>
      </w:r>
      <w:r w:rsidR="007C6C6A" w:rsidRPr="007C6C6A">
        <w:rPr>
          <w:noProof/>
          <w:color w:val="000000"/>
          <w:sz w:val="22"/>
          <w:szCs w:val="22"/>
          <w:lang w:val="sv-SE"/>
        </w:rPr>
        <w:t>[20]</w:t>
      </w:r>
      <w:r w:rsidR="007C6C6A">
        <w:rPr>
          <w:color w:val="000000"/>
          <w:sz w:val="22"/>
          <w:szCs w:val="22"/>
          <w:lang w:val="sv-SE"/>
        </w:rPr>
        <w:fldChar w:fldCharType="end"/>
      </w:r>
      <w:r w:rsidRPr="00D918FF">
        <w:rPr>
          <w:color w:val="000000"/>
          <w:sz w:val="22"/>
          <w:szCs w:val="22"/>
          <w:lang w:val="sv-SE"/>
        </w:rPr>
        <w:t>. Secara prinsip, decision tree bekerja dengan membagi ruang data secara rekursif berdasarkan atribut yang paling informatif, sehingga menghasilkan aturan keputusan berbentuk if-then yang intuitif bagi pengguna non-teknis</w:t>
      </w:r>
      <w:r w:rsidR="007C6C6A">
        <w:rPr>
          <w:color w:val="000000"/>
          <w:sz w:val="22"/>
          <w:szCs w:val="22"/>
          <w:lang w:val="sv-SE"/>
        </w:rPr>
        <w:fldChar w:fldCharType="begin" w:fldLock="1"/>
      </w:r>
      <w:r w:rsidR="007C6C6A">
        <w:rPr>
          <w:color w:val="000000"/>
          <w:sz w:val="22"/>
          <w:szCs w:val="22"/>
          <w:lang w:val="sv-SE"/>
        </w:rPr>
        <w:instrText>ADDIN CSL_CITATION {"citationItems":[{"id":"ITEM-1","itemData":{"ISSN":"2624-8212","abstract":"This article provides a birds-eye view on the role of decision trees in machine learning and data science over roughly four decades. It sketches the evolution of decision tree research over the years, describes the broader context in which the research is situated, and summarizes strengths and weaknesses of decision trees in this context. The main goal of the article is to clarify the broad relevance to machine learning and artificial intelligence, both practical and theoretical, that decision trees still have today.","author":[{"dropping-particle":"","family":"Blockeel","given":"Hendrik","non-dropping-particle":"","parse-names":false,"suffix":""},{"dropping-particle":"","family":"Devos","given":"Laurens","non-dropping-particle":"","parse-names":false,"suffix":""},{"dropping-particle":"","family":"Frénay","given":"Benoît","non-dropping-particle":"","parse-names":false,"suffix":""},{"dropping-particle":"","family":"Nanfack","given":"Géraldin","non-dropping-particle":"","parse-names":false,"suffix":""},{"dropping-particle":"","family":"Nijssen","given":"Siegfried","non-dropping-particle":"","parse-names":false,"suffix":""}],"container-title":"Frontiers in Artificial Intelligence","id":"ITEM-1","issued":{"date-parts":[["2023"]]},"title":"Decision trees: from efficient prediction to responsible AI","type":"article-journal","volume":"Volume 6 - 2023"},"uris":["http://www.mendeley.com/documents/?uuid=66f28345-d92c-4170-9116-11a77db32e68"]}],"mendeley":{"formattedCitation":"[20]","plainTextFormattedCitation":"[20]","previouslyFormattedCitation":"[20]"},"properties":{"noteIndex":0},"schema":"https://github.com/citation-style-language/schema/raw/master/csl-citation.json"}</w:instrText>
      </w:r>
      <w:r w:rsidR="007C6C6A">
        <w:rPr>
          <w:color w:val="000000"/>
          <w:sz w:val="22"/>
          <w:szCs w:val="22"/>
          <w:lang w:val="sv-SE"/>
        </w:rPr>
        <w:fldChar w:fldCharType="separate"/>
      </w:r>
      <w:r w:rsidR="007C6C6A" w:rsidRPr="007C6C6A">
        <w:rPr>
          <w:noProof/>
          <w:color w:val="000000"/>
          <w:sz w:val="22"/>
          <w:szCs w:val="22"/>
          <w:lang w:val="sv-SE"/>
        </w:rPr>
        <w:t>[20]</w:t>
      </w:r>
      <w:r w:rsidR="007C6C6A">
        <w:rPr>
          <w:color w:val="000000"/>
          <w:sz w:val="22"/>
          <w:szCs w:val="22"/>
          <w:lang w:val="sv-SE"/>
        </w:rPr>
        <w:fldChar w:fldCharType="end"/>
      </w:r>
      <w:r w:rsidRPr="00D918FF">
        <w:rPr>
          <w:color w:val="000000"/>
          <w:sz w:val="22"/>
          <w:szCs w:val="22"/>
          <w:lang w:val="sv-SE"/>
        </w:rPr>
        <w:t>.</w:t>
      </w:r>
    </w:p>
    <w:p w14:paraId="0598B1C9" w14:textId="60EB1C6F"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Dalam bidang pangan, pembelajaran mesin ringan telah digunakan untuk mendukung evaluasi kualitas dan prediksi hasil produksi</w:t>
      </w:r>
      <w:r w:rsidR="007C6C6A">
        <w:rPr>
          <w:color w:val="000000"/>
          <w:sz w:val="22"/>
          <w:szCs w:val="22"/>
          <w:lang w:val="sv-SE"/>
        </w:rPr>
        <w:fldChar w:fldCharType="begin" w:fldLock="1"/>
      </w:r>
      <w:r w:rsidR="007C6C6A">
        <w:rPr>
          <w:color w:val="000000"/>
          <w:sz w:val="22"/>
          <w:szCs w:val="22"/>
          <w:lang w:val="sv-SE"/>
        </w:rPr>
        <w:instrText>ADDIN CSL_CITATION {"citationItems":[{"id":"ITEM-1","itemData":{"DOI":"https://doi.org/10.1016/j.procir.2024.01.078","ISSN":"2212-8271","abstract":"In recent years, the food industry has faced a number of complex challenges related to both quality control and sustainability. Ensuring consumer safety and satisfaction remains a cornerstone of the food industry, supported by stringent standards that address the risks of contamination and spoilage. However, variability in raw materials, processing techniques and storage conditions are just some of the factors that affect quality in the food industry. To manage this high variability, it is essential to analyse the production process and factors that most influence food quality, aiming to predict and minimise food waste, thereby ensuring a sustainable process. This convergence of quality control and sustainability goals provides fertile ground for machine learning applications. By improving defect detection, process optimisation, resource allocation and predictive maintenance, these models help to improve product quality and reduce environmental impact. This article aims to explore the various applications of machine learning models in the food industry, where the variability of raw materials and the difficulty of controlling production and environmental factors challenge the use of traditional methods. The quality control and sustainability of an industrial corn cakes production process is used as a case study.","author":[{"dropping-particle":"","family":"Puttero","given":"Stefano","non-dropping-particle":"","parse-names":false,"suffix":""},{"dropping-particle":"","family":"Verna","given":"Elisa","non-dropping-particle":"","parse-names":false,"suffix":""},{"dropping-particle":"","family":"Genta","given":"Gianfranco","non-dropping-particle":"","parse-names":false,"suffix":""},{"dropping-particle":"","family":"Galetto","given":"Maurizio","non-dropping-particle":"","parse-names":false,"suffix":""}],"container-title":"Procedia CIRP","id":"ITEM-1","issued":{"date-parts":[["2024"]]},"page":"533-538","title":"Improved quality control and sustainability in food production by machine learning","type":"article-journal","volume":"122"},"uris":["http://www.mendeley.com/documents/?uuid=eec94bdb-d6fb-4220-af85-a8477ef669eb"]}],"mendeley":{"formattedCitation":"[21]","plainTextFormattedCitation":"[21]","previouslyFormattedCitation":"[21]"},"properties":{"noteIndex":0},"schema":"https://github.com/citation-style-language/schema/raw/master/csl-citation.json"}</w:instrText>
      </w:r>
      <w:r w:rsidR="007C6C6A">
        <w:rPr>
          <w:color w:val="000000"/>
          <w:sz w:val="22"/>
          <w:szCs w:val="22"/>
          <w:lang w:val="sv-SE"/>
        </w:rPr>
        <w:fldChar w:fldCharType="separate"/>
      </w:r>
      <w:r w:rsidR="007C6C6A" w:rsidRPr="007C6C6A">
        <w:rPr>
          <w:noProof/>
          <w:color w:val="000000"/>
          <w:sz w:val="22"/>
          <w:szCs w:val="22"/>
          <w:lang w:val="sv-SE"/>
        </w:rPr>
        <w:t>[21]</w:t>
      </w:r>
      <w:r w:rsidR="007C6C6A">
        <w:rPr>
          <w:color w:val="000000"/>
          <w:sz w:val="22"/>
          <w:szCs w:val="22"/>
          <w:lang w:val="sv-SE"/>
        </w:rPr>
        <w:fldChar w:fldCharType="end"/>
      </w:r>
      <w:r w:rsidRPr="00D918FF">
        <w:rPr>
          <w:color w:val="000000"/>
          <w:sz w:val="22"/>
          <w:szCs w:val="22"/>
          <w:lang w:val="sv-SE"/>
        </w:rPr>
        <w:t>. Pendekatan ini sejalan dengan konsep human-in-the-loop, di mana teknologi berfungsi sebagai alat bantu, sementara keputusan akhir tetap berada pada manusia.</w:t>
      </w:r>
    </w:p>
    <w:p w14:paraId="4DE91CCC" w14:textId="50B75732"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Selain decision tree, teknik penambangan data (data mining) secara umum juga banyak diterapkan untuk mengekstraksi pola tersembunyi dari data produksi berskala besar</w:t>
      </w:r>
      <w:r w:rsidR="007C6C6A">
        <w:rPr>
          <w:color w:val="000000"/>
          <w:sz w:val="22"/>
          <w:szCs w:val="22"/>
          <w:lang w:val="sv-SE"/>
        </w:rPr>
        <w:fldChar w:fldCharType="begin" w:fldLock="1"/>
      </w:r>
      <w:r w:rsidR="007C6C6A">
        <w:rPr>
          <w:color w:val="000000"/>
          <w:sz w:val="22"/>
          <w:szCs w:val="22"/>
          <w:lang w:val="sv-SE"/>
        </w:rPr>
        <w:instrText>ADDIN CSL_CITATION {"citationItems":[{"id":"ITEM-1","itemData":{"DOI":"https://doi.org/10.1016/j.trac.2023.117105","ISSN":"0165-9936","abstract":"According to the Food and Agriculture Organization of the United Nations, food safety is defined as “assurance that food will not cause harm to the consumer which is prepared and/or eaten according to its intended use”. Regulatory authorities, food producers, and consumers are very interested in food authenticity certification, imposing the need to establish new approaches for identifying and assessing food quality markers. In this review, we present a description of the main analytical techniques and data acquisition used in food analysis, the mostly employed pattern recognition chemometric tools, a survey of applications of different methodologies that have been developed up to date, practical examples, and a critical analysis of advantages and disadvantages of the processing multivariate data in food analysis.","author":[{"dropping-particle":"","family":"Araújo Gomes","given":"Adriano","non-dropping-particle":"de","parse-names":false,"suffix":""},{"dropping-particle":"","family":"Azcarate","given":"Silvana M","non-dropping-particle":"","parse-names":false,"suffix":""},{"dropping-particle":"","family":"Špánik","given":"Ivan","non-dropping-particle":"","parse-names":false,"suffix":""},{"dropping-particle":"","family":"Khvalbota","given":"Liudmyla","non-dropping-particle":"","parse-names":false,"suffix":""},{"dropping-particle":"","family":"Goicoechea","given":"Héctor C","non-dropping-particle":"","parse-names":false,"suffix":""}],"container-title":"TrAC Trends in Analytical Chemistry","id":"ITEM-1","issued":{"date-parts":[["2023"]]},"page":"117105","title":"Pattern recognition techniques in food quality and authenticity: A guide on how to process multivariate data in food analysis","type":"article-journal","volume":"164"},"uris":["http://www.mendeley.com/documents/?uuid=7d546a59-8787-4973-ad89-1b0ddfda0a51"]}],"mendeley":{"formattedCitation":"[22]","plainTextFormattedCitation":"[22]","previouslyFormattedCitation":"[22]"},"properties":{"noteIndex":0},"schema":"https://github.com/citation-style-language/schema/raw/master/csl-citation.json"}</w:instrText>
      </w:r>
      <w:r w:rsidR="007C6C6A">
        <w:rPr>
          <w:color w:val="000000"/>
          <w:sz w:val="22"/>
          <w:szCs w:val="22"/>
          <w:lang w:val="sv-SE"/>
        </w:rPr>
        <w:fldChar w:fldCharType="separate"/>
      </w:r>
      <w:r w:rsidR="007C6C6A" w:rsidRPr="007C6C6A">
        <w:rPr>
          <w:noProof/>
          <w:color w:val="000000"/>
          <w:sz w:val="22"/>
          <w:szCs w:val="22"/>
          <w:lang w:val="sv-SE"/>
        </w:rPr>
        <w:t>[22]</w:t>
      </w:r>
      <w:r w:rsidR="007C6C6A">
        <w:rPr>
          <w:color w:val="000000"/>
          <w:sz w:val="22"/>
          <w:szCs w:val="22"/>
          <w:lang w:val="sv-SE"/>
        </w:rPr>
        <w:fldChar w:fldCharType="end"/>
      </w:r>
      <w:r w:rsidRPr="00D918FF">
        <w:rPr>
          <w:color w:val="000000"/>
          <w:sz w:val="22"/>
          <w:szCs w:val="22"/>
          <w:lang w:val="sv-SE"/>
        </w:rPr>
        <w:t>. Meskipun demikian, kompleksitas model yang lebih tinggi tidak selalu diperlukan pada konteks praktik boga, sehingga pendekatan yang sederhana namun mudah diinterpretasikan menjadi pilihan yang lebih tepat, khususnya bagi praktisi yang tidak memiliki latar belakang teknis</w:t>
      </w:r>
      <w:r w:rsidR="007C6C6A">
        <w:rPr>
          <w:color w:val="000000"/>
          <w:sz w:val="22"/>
          <w:szCs w:val="22"/>
          <w:lang w:val="sv-SE"/>
        </w:rPr>
        <w:fldChar w:fldCharType="begin" w:fldLock="1"/>
      </w:r>
      <w:r w:rsidR="007C6C6A">
        <w:rPr>
          <w:color w:val="000000"/>
          <w:sz w:val="22"/>
          <w:szCs w:val="22"/>
          <w:lang w:val="sv-SE"/>
        </w:rPr>
        <w:instrText>ADDIN CSL_CITATION {"citationItems":[{"id":"ITEM-1","itemData":{"DOI":"https://doi.org/10.1016/j.knosys.2023.110273","ISSN":"0950-7051","abstract":"The past decade has seen significant progress in artificial intelligence (AI), which has resulted in algorithms being adopted for resolving a variety of problems. However, this success has been met by increasing model complexity and employing black-box AI models that lack transparency. In response to this need, Explainable AI (XAI) has been proposed to make AI more transparent and thus advance the adoption of AI in critical domains. Although there are several reviews of XAI topics in the literature that have identified challenges and potential research directions of XAI, these challenges and research directions are scattered. This study, hence, presents a systematic meta-survey of challenges and future research directions in XAI organized in two themes: (1) general challenges and research directions of XAI and (2) challenges and research directions of XAI based on machine learning life cycle’s phases: design, development, and deployment. We believe that our meta-survey contributes to XAI literature by providing a guide for future exploration in the XAI area.","author":[{"dropping-particle":"","family":"Saeed","given":"Waddah","non-dropping-particle":"","parse-names":false,"suffix":""},{"dropping-particle":"","family":"Omlin","given":"Christian","non-dropping-particle":"","parse-names":false,"suffix":""}],"container-title":"Knowledge-Based Systems","id":"ITEM-1","issued":{"date-parts":[["2023"]]},"page":"110273","title":"Explainable AI (XAI): A systematic meta-survey of current challenges and future opportunities","type":"article-journal","volume":"263"},"uris":["http://www.mendeley.com/documents/?uuid=9b80f080-9eaa-4155-bc02-bb567cd9d30c"]}],"mendeley":{"formattedCitation":"[17]","plainTextFormattedCitation":"[17]","previouslyFormattedCitation":"[17]"},"properties":{"noteIndex":0},"schema":"https://github.com/citation-style-language/schema/raw/master/csl-citation.json"}</w:instrText>
      </w:r>
      <w:r w:rsidR="007C6C6A">
        <w:rPr>
          <w:color w:val="000000"/>
          <w:sz w:val="22"/>
          <w:szCs w:val="22"/>
          <w:lang w:val="sv-SE"/>
        </w:rPr>
        <w:fldChar w:fldCharType="separate"/>
      </w:r>
      <w:r w:rsidR="007C6C6A" w:rsidRPr="007C6C6A">
        <w:rPr>
          <w:noProof/>
          <w:color w:val="000000"/>
          <w:sz w:val="22"/>
          <w:szCs w:val="22"/>
          <w:lang w:val="sv-SE"/>
        </w:rPr>
        <w:t>[17]</w:t>
      </w:r>
      <w:r w:rsidR="007C6C6A">
        <w:rPr>
          <w:color w:val="000000"/>
          <w:sz w:val="22"/>
          <w:szCs w:val="22"/>
          <w:lang w:val="sv-SE"/>
        </w:rPr>
        <w:fldChar w:fldCharType="end"/>
      </w:r>
      <w:r w:rsidRPr="00D918FF">
        <w:rPr>
          <w:color w:val="000000"/>
          <w:sz w:val="22"/>
          <w:szCs w:val="22"/>
          <w:lang w:val="sv-SE"/>
        </w:rPr>
        <w:t>.</w:t>
      </w:r>
    </w:p>
    <w:p w14:paraId="0302A178" w14:textId="77777777" w:rsidR="00AB6772" w:rsidRPr="000D787A" w:rsidRDefault="00000000">
      <w:pPr>
        <w:pStyle w:val="Heading2"/>
        <w:numPr>
          <w:ilvl w:val="1"/>
          <w:numId w:val="4"/>
        </w:numPr>
        <w:ind w:left="0" w:hanging="2"/>
        <w:rPr>
          <w:rFonts w:ascii="Tahoma" w:eastAsia="Tahoma" w:hAnsi="Tahoma" w:cs="Tahoma"/>
          <w:color w:val="000000"/>
          <w:sz w:val="22"/>
          <w:szCs w:val="22"/>
          <w:lang w:val="sv-SE"/>
        </w:rPr>
      </w:pPr>
      <w:r w:rsidRPr="000D787A">
        <w:rPr>
          <w:b/>
          <w:i w:val="0"/>
          <w:color w:val="000000"/>
          <w:sz w:val="22"/>
          <w:szCs w:val="22"/>
          <w:lang w:val="sv-SE"/>
        </w:rPr>
        <w:t>Standar Keamanan Pangan dan Sistem Cerdas dalam Rantai Produksi</w:t>
      </w:r>
    </w:p>
    <w:p w14:paraId="16F92687" w14:textId="1B3A2F3A"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 xml:space="preserve">Penerapan sistem cerdas pada rantai produksi pangan tidak dapat dilepaskan dari kepatuhan terhadap standar keamanan dan mutu, seperti kerangka ISO 22000 maupun standar mutu dan keamanan lain pada industri pangan. Sistem berbasis Industry 4.0 yang diterapkan pada proses </w:t>
      </w:r>
      <w:r w:rsidRPr="00D918FF">
        <w:rPr>
          <w:color w:val="000000"/>
          <w:sz w:val="22"/>
          <w:szCs w:val="22"/>
          <w:lang w:val="sv-SE"/>
        </w:rPr>
        <w:t>pengolahan pangan dilaporkan mampu meningkatkan konsistensi mutu produk sekaligus mempercepat identifikasi penyimpangan proses</w:t>
      </w:r>
      <w:r w:rsidR="007C6C6A">
        <w:rPr>
          <w:color w:val="000000"/>
          <w:sz w:val="22"/>
          <w:szCs w:val="22"/>
          <w:lang w:val="sv-SE"/>
        </w:rPr>
        <w:fldChar w:fldCharType="begin" w:fldLock="1"/>
      </w:r>
      <w:r w:rsidR="007C6C6A">
        <w:rPr>
          <w:color w:val="000000"/>
          <w:sz w:val="22"/>
          <w:szCs w:val="22"/>
          <w:lang w:val="sv-SE"/>
        </w:rPr>
        <w:instrText>ADDIN CSL_CITATION {"citationItems":[{"id":"ITEM-1","itemData":{"DOI":"https://doi.org/10.1016/j.tifs.2025.105144","ISSN":"0924-2244","abstract":"Background The food industry faces increasing demands for improved quality and safety, while conventional quality control methods remain labour-intensive, slow, and limited. Industry 4.0 (I4.0) technologies show promise, but real-world implementation remains limited. Advancing practice requires clear insight into technical/technological and managerial benefits and barriers. Scope This review examines the I4.0 technologies and their implementation status in quality and safety systems in food manufacturing, and their applicability in either product or process quality control, as well as in elements of the quality control circle (data collection and analysis, corrective and proactive actions). Followingly, the benefits and barriers of these technologies that are mentioned in the reviewed studies are categorised using a techno-managerial approach. Key findings and conclusions Artificial intelligence (AI) is mainly used for product quality control, while the Internet of Things supports process quality control in the reviewed studies. Data analysis is the most addressed element of the quality circle; AI has the most potential. The reported benefits are primarily technical/technological, focusing on contamination detection and real-time quality monitoring. Managerial benefits, though less emphasised, include cost-effectiveness, better food safety and crisis management, and strategic improvement. Key technical/technological barriers are process and equipment-related, notably the need for high-quality data and time-intensive AI model training for large or complex datasets. Besides, reliable and accurate performance can still be a barrier due to overfitting, misclassification, etc. Managerial barriers are mostly people-related, including manual labelling errors and security issues. A multidisciplinary approach is essential to overcoming these barriers and promoting field implementations.","author":[{"dropping-particle":"","family":"Semercioz-Oduncuoglu","given":"Ayse Selcen","non-dropping-particle":"","parse-names":false,"suffix":""},{"dropping-particle":"","family":"Luning","given":"Pieternel A","non-dropping-particle":"","parse-names":false,"suffix":""}],"container-title":"Trends in Food Science &amp; Technology","id":"ITEM-1","issued":{"date-parts":[["2025"]]},"page":"105144","title":"Industry 4.0 technologies in quality and safety control systems in food manufacturing: A systematic techno-managerial analysis on benefits and barriers","type":"article-journal","volume":"163"},"uris":["http://www.mendeley.com/documents/?uuid=65826f3a-7577-463c-9a13-43d6c03d08bd"]}],"mendeley":{"formattedCitation":"[23]","plainTextFormattedCitation":"[23]","previouslyFormattedCitation":"[23]"},"properties":{"noteIndex":0},"schema":"https://github.com/citation-style-language/schema/raw/master/csl-citation.json"}</w:instrText>
      </w:r>
      <w:r w:rsidR="007C6C6A">
        <w:rPr>
          <w:color w:val="000000"/>
          <w:sz w:val="22"/>
          <w:szCs w:val="22"/>
          <w:lang w:val="sv-SE"/>
        </w:rPr>
        <w:fldChar w:fldCharType="separate"/>
      </w:r>
      <w:r w:rsidR="007C6C6A" w:rsidRPr="007C6C6A">
        <w:rPr>
          <w:noProof/>
          <w:color w:val="000000"/>
          <w:sz w:val="22"/>
          <w:szCs w:val="22"/>
          <w:lang w:val="sv-SE"/>
        </w:rPr>
        <w:t>[23]</w:t>
      </w:r>
      <w:r w:rsidR="007C6C6A">
        <w:rPr>
          <w:color w:val="000000"/>
          <w:sz w:val="22"/>
          <w:szCs w:val="22"/>
          <w:lang w:val="sv-SE"/>
        </w:rPr>
        <w:fldChar w:fldCharType="end"/>
      </w:r>
      <w:r w:rsidRPr="00D918FF">
        <w:rPr>
          <w:color w:val="000000"/>
          <w:sz w:val="22"/>
          <w:szCs w:val="22"/>
          <w:lang w:val="sv-SE"/>
        </w:rPr>
        <w:t>.</w:t>
      </w:r>
    </w:p>
    <w:p w14:paraId="6F47C9C8" w14:textId="20023503"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Studi inovasi pada industri pangan menunjukkan bahwa integrasi teknologi digital dan analitik data menjadi salah satu pendorong utama daya saing perusahaan pangan, baik pada skala besar maupun skala kecil dan menengah</w:t>
      </w:r>
      <w:r w:rsidR="007C6C6A">
        <w:rPr>
          <w:color w:val="000000"/>
          <w:sz w:val="22"/>
          <w:szCs w:val="22"/>
          <w:lang w:val="sv-SE"/>
        </w:rPr>
        <w:fldChar w:fldCharType="begin" w:fldLock="1"/>
      </w:r>
      <w:r w:rsidR="006F2EE0">
        <w:rPr>
          <w:color w:val="000000"/>
          <w:sz w:val="22"/>
          <w:szCs w:val="22"/>
          <w:lang w:val="sv-SE"/>
        </w:rPr>
        <w:instrText>ADDIN CSL_CITATION {"citationItems":[{"id":"ITEM-1","itemData":{"DOI":"https://doi.org/10.1108/BFJ-02-2025-0119","ISSN":"0007-070X","abstract":" Purpose This study aims to explore the role of dynamic capabilities – i.e. big data analytics capabilities (BDAC) and digital capabilities (DC) – in shaping a data-driven culture (DDC), arguing that these dimensions contribute to digital transformation (DT), using Italian agri-food small and medium-sized enterprises (SMEs) as a case.  Design/methodology/approach This study analyzes 300 survey responses on BDAC, DC, DDC, and DT gathered from Italian agri-food SMEs using covariance-based structural equation modeling.  Findings This study reveals that dynamic capabilities, particularly BDAC and DC, play a positive role in shaping a DDC, which, in turn, positively supports DT. Upon deeper scrutiny, this study shows that BDAC exhibits a particularly strong effect, implying that investments in analytical competencies can significantly enhance firms’ readiness to leverage digital opportunities, and when complemented by supportive cultural practices oriented toward data-driven decision-making, these capabilities strengthen the pursuit of DT, especially among agri-food SMEs.  Originality/value This study makes a novel contribution by shifting the attention toward capabilities and cultures essential for DT, thereby moving beyond the narrow focus on technological adoption that characterizes much of the existing literature. The insights from this study underscore that strong dynamic capabilities and a deliberate emphasis on data-driven mindsets enable agri-food SMEs to navigate DT more effectively.","author":[{"dropping-particle":"","family":"Ciasullo","given":"Maria Vincenza","non-dropping-particle":"","parse-names":false,"suffix":""},{"dropping-particle":"","family":"Ferrara","given":"Miriana","non-dropping-particle":"","parse-names":false,"suffix":""},{"dropping-particle":"","family":"Lim","given":"Weng Marc","non-dropping-particle":"","parse-names":false,"suffix":""}],"container-title":"British Food Journal","id":"ITEM-1","issue":"8","issued":{"date-parts":[["2026"]]},"page":"3377-3393","title":"Dynamic capabilities and data-driven culture for digital transformation: evidence from agri-food SMEs","type":"article-journal","volume":"128"},"uris":["http://www.mendeley.com/documents/?uuid=e81ded3e-ead9-4b08-aefa-fec5655f881e"]}],"mendeley":{"formattedCitation":"[24]","plainTextFormattedCitation":"[24]","previouslyFormattedCitation":"[24]"},"properties":{"noteIndex":0},"schema":"https://github.com/citation-style-language/schema/raw/master/csl-citation.json"}</w:instrText>
      </w:r>
      <w:r w:rsidR="007C6C6A">
        <w:rPr>
          <w:color w:val="000000"/>
          <w:sz w:val="22"/>
          <w:szCs w:val="22"/>
          <w:lang w:val="sv-SE"/>
        </w:rPr>
        <w:fldChar w:fldCharType="separate"/>
      </w:r>
      <w:r w:rsidR="007C6C6A" w:rsidRPr="007C6C6A">
        <w:rPr>
          <w:noProof/>
          <w:color w:val="000000"/>
          <w:sz w:val="22"/>
          <w:szCs w:val="22"/>
          <w:lang w:val="sv-SE"/>
        </w:rPr>
        <w:t>[24]</w:t>
      </w:r>
      <w:r w:rsidR="007C6C6A">
        <w:rPr>
          <w:color w:val="000000"/>
          <w:sz w:val="22"/>
          <w:szCs w:val="22"/>
          <w:lang w:val="sv-SE"/>
        </w:rPr>
        <w:fldChar w:fldCharType="end"/>
      </w:r>
      <w:r w:rsidRPr="00D918FF">
        <w:rPr>
          <w:color w:val="000000"/>
          <w:sz w:val="22"/>
          <w:szCs w:val="22"/>
          <w:lang w:val="sv-SE"/>
        </w:rPr>
        <w:t>. Sistem cerdas berbasis data historis produksi juga terbukti membantu optimalisasi proses, misalnya dalam menentukan parameter proses yang paling berpengaruh terhadap hasil akhir produk. Pendekatan berbasis data semacam ini konsisten dengan temuan bahwa pengambilan keputusan yang didukung analitik cenderung lebih objektif dibandingkan pengambilan keputusan yang semata-mata mengandalkan pengalaman</w:t>
      </w:r>
      <w:r w:rsidR="006F2EE0">
        <w:rPr>
          <w:color w:val="000000"/>
          <w:sz w:val="22"/>
          <w:szCs w:val="22"/>
          <w:lang w:val="sv-SE"/>
        </w:rPr>
        <w:fldChar w:fldCharType="begin" w:fldLock="1"/>
      </w:r>
      <w:r w:rsidR="006F2EE0">
        <w:rPr>
          <w:color w:val="000000"/>
          <w:sz w:val="22"/>
          <w:szCs w:val="22"/>
          <w:lang w:val="sv-SE"/>
        </w:rPr>
        <w:instrText>ADDIN CSL_CITATION {"citationItems":[{"id":"ITEM-1","itemData":{"DOI":"10.1007/s11846-023-00694-1","ISSN":"1863-6691","abstract":"The surge in data-related investments has drawn the attention of both managers and academia to the question of whether and how this (re)shapes decision making routines. Drawing on the information processing theory of the organization and the agency theory, this paper addresses how putting a strategic emphasis on business analytics supports an analytical decision making culture that makes enhanced use of data in each phase of the decision making process, along with a potential change in authorities resulting from shifts in information asymmetry. Based on a survey of 305 medium-sized and large companies, we propose a multiple-mediator model. We provide support for our hypothesis that top management support for business analytics and perceived data quality are good predictors of an analytical culture. Furthermore, we argue that the analytical culture increases the centralization of data use, but interestingly, we found that this centralization is not associated with data-driven decision making. Our paper positions a long-running debate about information technology-related centralization of authorities in the new context of business analytics.","author":[{"dropping-particle":"","family":"Szukits","given":"Ágnes","non-dropping-particle":"","parse-names":false,"suffix":""},{"dropping-particle":"","family":"Móricz","given":"Péter","non-dropping-particle":"","parse-names":false,"suffix":""}],"container-title":"Review of Managerial Science","id":"ITEM-1","issue":"10","issued":{"date-parts":[["2024"]]},"page":"2849-2887","title":"Towards data-driven decision making: the role of analytical culture and centralization efforts","type":"article-journal","volume":"18"},"uris":["http://www.mendeley.com/documents/?uuid=ca19ad4d-35a0-44f0-a522-cc4b6d13e99b"]}],"mendeley":{"formattedCitation":"[25]","plainTextFormattedCitation":"[25]","previouslyFormattedCitation":"[25]"},"properties":{"noteIndex":0},"schema":"https://github.com/citation-style-language/schema/raw/master/csl-citation.json"}</w:instrText>
      </w:r>
      <w:r w:rsidR="006F2EE0">
        <w:rPr>
          <w:color w:val="000000"/>
          <w:sz w:val="22"/>
          <w:szCs w:val="22"/>
          <w:lang w:val="sv-SE"/>
        </w:rPr>
        <w:fldChar w:fldCharType="separate"/>
      </w:r>
      <w:r w:rsidR="006F2EE0" w:rsidRPr="006F2EE0">
        <w:rPr>
          <w:noProof/>
          <w:color w:val="000000"/>
          <w:sz w:val="22"/>
          <w:szCs w:val="22"/>
          <w:lang w:val="sv-SE"/>
        </w:rPr>
        <w:t>[25]</w:t>
      </w:r>
      <w:r w:rsidR="006F2EE0">
        <w:rPr>
          <w:color w:val="000000"/>
          <w:sz w:val="22"/>
          <w:szCs w:val="22"/>
          <w:lang w:val="sv-SE"/>
        </w:rPr>
        <w:fldChar w:fldCharType="end"/>
      </w:r>
      <w:r w:rsidRPr="00D918FF">
        <w:rPr>
          <w:color w:val="000000"/>
          <w:sz w:val="22"/>
          <w:szCs w:val="22"/>
          <w:lang w:val="sv-SE"/>
        </w:rPr>
        <w:t xml:space="preserve"> .</w:t>
      </w:r>
    </w:p>
    <w:p w14:paraId="3014EC1A" w14:textId="77777777" w:rsidR="00AB6772" w:rsidRDefault="00000000">
      <w:pPr>
        <w:pStyle w:val="Heading1"/>
        <w:numPr>
          <w:ilvl w:val="0"/>
          <w:numId w:val="3"/>
        </w:numPr>
        <w:ind w:hanging="2"/>
        <w:rPr>
          <w:rFonts w:ascii="Tahoma" w:eastAsia="Tahoma" w:hAnsi="Tahoma" w:cs="Tahoma"/>
          <w:color w:val="000000"/>
          <w:sz w:val="24"/>
          <w:szCs w:val="24"/>
        </w:rPr>
      </w:pPr>
      <w:r>
        <w:rPr>
          <w:b/>
          <w:smallCaps w:val="0"/>
          <w:color w:val="000000"/>
          <w:sz w:val="24"/>
          <w:szCs w:val="24"/>
        </w:rPr>
        <w:t>METODE PENELITIAN</w:t>
      </w:r>
    </w:p>
    <w:p w14:paraId="2DB27165"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Penelitian ini menggunakan pendekatan kuantitatif dengan desain penelitian terapan. Objek penelitian adalah proses produksi makanan pada praktik boga yang melibatkan parameter proses utama, yaitu suhu pemasakan, waktu pemasakan, dan hasil kualitas produk. Data dikumpulkan melalui pencatatan digital selama proses produksi berlangsung.</w:t>
      </w:r>
    </w:p>
    <w:p w14:paraId="31B50243"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Tahapan penelitian meliputi pengumpulan data, praproses data, analisis menggunakan pembelajaran mesin ringan, dan interpretasi hasil untuk mendukung pengambilan keputusan produksi makanan. Metode pembelajaran mesin yang digunakan adalah decision tree karena kemampuannya menghasilkan aturan keputusan yang mudah dipahami oleh praktisi non-teknis.</w:t>
      </w:r>
    </w:p>
    <w:p w14:paraId="0824A4A0" w14:textId="77777777" w:rsidR="00AB6772" w:rsidRDefault="00000000">
      <w:pPr>
        <w:ind w:left="0" w:hanging="2"/>
      </w:pPr>
      <w:r>
        <w:rPr>
          <w:noProof/>
        </w:rPr>
        <w:drawing>
          <wp:inline distT="0" distB="0" distL="0" distR="0" wp14:anchorId="17048731" wp14:editId="23C33380">
            <wp:extent cx="2815437" cy="692200"/>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png"/>
                    <pic:cNvPicPr/>
                  </pic:nvPicPr>
                  <pic:blipFill>
                    <a:blip r:embed="rId8"/>
                    <a:stretch>
                      <a:fillRect/>
                    </a:stretch>
                  </pic:blipFill>
                  <pic:spPr>
                    <a:xfrm>
                      <a:off x="0" y="0"/>
                      <a:ext cx="2815437" cy="692200"/>
                    </a:xfrm>
                    <a:prstGeom prst="rect">
                      <a:avLst/>
                    </a:prstGeom>
                  </pic:spPr>
                </pic:pic>
              </a:graphicData>
            </a:graphic>
          </wp:inline>
        </w:drawing>
      </w:r>
    </w:p>
    <w:p w14:paraId="00CC5144" w14:textId="77777777" w:rsidR="00AB6772" w:rsidRPr="00D918FF" w:rsidRDefault="00000000">
      <w:pPr>
        <w:pBdr>
          <w:top w:val="nil"/>
          <w:left w:val="nil"/>
          <w:bottom w:val="nil"/>
          <w:right w:val="nil"/>
          <w:between w:val="nil"/>
        </w:pBdr>
        <w:spacing w:before="80" w:after="200" w:line="240" w:lineRule="auto"/>
        <w:ind w:left="0" w:hanging="2"/>
        <w:rPr>
          <w:rFonts w:ascii="Tahoma" w:eastAsia="Tahoma" w:hAnsi="Tahoma" w:cs="Tahoma"/>
          <w:color w:val="000000"/>
          <w:sz w:val="29"/>
          <w:szCs w:val="29"/>
          <w:lang w:val="sv-SE"/>
        </w:rPr>
      </w:pPr>
      <w:r w:rsidRPr="00D918FF">
        <w:rPr>
          <w:b/>
          <w:color w:val="000000"/>
          <w:sz w:val="18"/>
          <w:szCs w:val="18"/>
          <w:lang w:val="sv-SE"/>
        </w:rPr>
        <w:t>Gambar 1. Alur Penelitian Pemanfaatan Teknologi Digital dan Pembelajaran Mesin Ringan</w:t>
      </w:r>
    </w:p>
    <w:p w14:paraId="39564797"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Gambar 1 menunjukkan alur penelitian yang dimulai dari pengumpulan data produksi makanan berbasis teknologi digital, dilanjutkan dengan praproses data, analisis menggunakan metode decision tree, dan pemanfaatan hasil analisis sebagai dasar pengambilan keputusan produksi makanan.</w:t>
      </w:r>
    </w:p>
    <w:p w14:paraId="3E0533F0" w14:textId="77777777" w:rsidR="00AB6772" w:rsidRDefault="00000000">
      <w:pPr>
        <w:pStyle w:val="Heading2"/>
        <w:numPr>
          <w:ilvl w:val="1"/>
          <w:numId w:val="4"/>
        </w:numPr>
        <w:ind w:left="0" w:hanging="2"/>
        <w:rPr>
          <w:rFonts w:ascii="Tahoma" w:eastAsia="Tahoma" w:hAnsi="Tahoma" w:cs="Tahoma"/>
          <w:color w:val="000000"/>
          <w:sz w:val="22"/>
          <w:szCs w:val="22"/>
        </w:rPr>
      </w:pPr>
      <w:r>
        <w:rPr>
          <w:b/>
          <w:i w:val="0"/>
          <w:color w:val="000000"/>
          <w:sz w:val="22"/>
          <w:szCs w:val="22"/>
        </w:rPr>
        <w:lastRenderedPageBreak/>
        <w:t>Instrumen dan Prosedur Pengumpulan Data</w:t>
      </w:r>
    </w:p>
    <w:p w14:paraId="68A65973"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Data produksi dikumpulkan menggunakan lembar pencatatan digital yang diisi oleh praktisi boga pada setiap siklus produksi. Parameter yang dicatat meliputi suhu pemasakan, waktu pemasakan, jenis produk, dan hasil kualitas produk akhir yang dinilai berdasarkan kriteria sensori sederhana (baik, cukup, dan kurang). Pencatatan dilakukan secara konsisten pada setiap sesi produksi untuk memastikan data yang terkumpul dapat merepresentasikan variasi kondisi proses yang sebenarnya terjadi di lapangan.</w:t>
      </w:r>
    </w:p>
    <w:p w14:paraId="50C273C2"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Sebelum dianalisis, data mentah melalui tahap praproses yang meliputi pemeriksaan data yang hilang atau tidak konsisten, standarisasi satuan pengukuran, serta pengategorian variabel hasil kualitas produk. Tahap ini penting untuk memastikan bahwa data yang digunakan dalam proses pemodelan bersih dan siap dianalisis menggunakan algoritma decision tree.</w:t>
      </w:r>
    </w:p>
    <w:p w14:paraId="4EDFB14B" w14:textId="77777777" w:rsidR="00AB6772" w:rsidRDefault="00000000">
      <w:pPr>
        <w:pStyle w:val="Heading2"/>
        <w:numPr>
          <w:ilvl w:val="1"/>
          <w:numId w:val="4"/>
        </w:numPr>
        <w:ind w:left="0" w:hanging="2"/>
        <w:rPr>
          <w:rFonts w:ascii="Tahoma" w:eastAsia="Tahoma" w:hAnsi="Tahoma" w:cs="Tahoma"/>
          <w:color w:val="000000"/>
          <w:sz w:val="22"/>
          <w:szCs w:val="22"/>
        </w:rPr>
      </w:pPr>
      <w:r>
        <w:rPr>
          <w:b/>
          <w:i w:val="0"/>
          <w:color w:val="000000"/>
          <w:sz w:val="22"/>
          <w:szCs w:val="22"/>
        </w:rPr>
        <w:t>Teknik Analisis Data</w:t>
      </w:r>
    </w:p>
    <w:p w14:paraId="76A15F96"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rPr>
      </w:pPr>
      <w:r w:rsidRPr="00D918FF">
        <w:rPr>
          <w:color w:val="000000"/>
          <w:sz w:val="22"/>
          <w:szCs w:val="22"/>
        </w:rPr>
        <w:t>Analisis data dilakukan menggunakan algoritma decision tree dengan variabel suhu pemasakan dan waktu pemasakan sebagai atribut prediktor, serta hasil kualitas produk sebagai variabel target. Pemilihan atribut pemisah pada setiap simpul pohon keputusan didasarkan pada ukuran impuritas data, sehingga menghasilkan struktur pohon yang merepresentasikan aturan keputusan secara hierarkis dan mudah ditelusuri.</w:t>
      </w:r>
    </w:p>
    <w:p w14:paraId="27DCF96D"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rPr>
        <w:t xml:space="preserve">Hasil pohon keputusan selanjutnya diinterpretasikan untuk menghasilkan aturan keputusan dalam bentuk pernyataan kondisional (jika-maka) yang dapat langsung digunakan oleh praktisi boga sebagai panduan operasional. </w:t>
      </w:r>
      <w:r w:rsidRPr="00D918FF">
        <w:rPr>
          <w:color w:val="000000"/>
          <w:sz w:val="22"/>
          <w:szCs w:val="22"/>
          <w:lang w:val="sv-SE"/>
        </w:rPr>
        <w:t>Interpretasi dilakukan secara kualitatif dengan mempertimbangkan relevansi aturan terhadap praktik produksi sehari-hari, sehingga hasil analisis tidak hanya bersifat teknis tetapi juga aplikatif.</w:t>
      </w:r>
    </w:p>
    <w:p w14:paraId="63598EDB" w14:textId="77777777" w:rsidR="00AB6772" w:rsidRDefault="00000000">
      <w:pPr>
        <w:pStyle w:val="Heading1"/>
        <w:numPr>
          <w:ilvl w:val="0"/>
          <w:numId w:val="3"/>
        </w:numPr>
        <w:ind w:hanging="2"/>
        <w:rPr>
          <w:rFonts w:ascii="Tahoma" w:eastAsia="Tahoma" w:hAnsi="Tahoma" w:cs="Tahoma"/>
          <w:color w:val="000000"/>
          <w:sz w:val="24"/>
          <w:szCs w:val="24"/>
        </w:rPr>
      </w:pPr>
      <w:r>
        <w:rPr>
          <w:b/>
          <w:smallCaps w:val="0"/>
          <w:color w:val="000000"/>
          <w:sz w:val="24"/>
          <w:szCs w:val="24"/>
        </w:rPr>
        <w:t>HASIL DAN PEMBAHASAN</w:t>
      </w:r>
    </w:p>
    <w:p w14:paraId="7DCA539A" w14:textId="77777777" w:rsidR="00AB6772" w:rsidRDefault="00000000">
      <w:pPr>
        <w:pStyle w:val="Heading2"/>
        <w:numPr>
          <w:ilvl w:val="1"/>
          <w:numId w:val="4"/>
        </w:numPr>
        <w:ind w:left="0" w:hanging="2"/>
        <w:rPr>
          <w:rFonts w:ascii="Tahoma" w:eastAsia="Tahoma" w:hAnsi="Tahoma" w:cs="Tahoma"/>
          <w:color w:val="000000"/>
          <w:sz w:val="22"/>
          <w:szCs w:val="22"/>
        </w:rPr>
      </w:pPr>
      <w:r>
        <w:rPr>
          <w:b/>
          <w:i w:val="0"/>
          <w:color w:val="000000"/>
          <w:sz w:val="22"/>
          <w:szCs w:val="22"/>
        </w:rPr>
        <w:t>Karakteristik Data Produksi</w:t>
      </w:r>
    </w:p>
    <w:p w14:paraId="55F6384D"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Data yang digunakan dalam penelitian ini terdiri atas beberapa parameter utama yang dicatat secara digital selama proses produksi makanan.</w:t>
      </w:r>
    </w:p>
    <w:p w14:paraId="61DAB777" w14:textId="77777777" w:rsidR="00AB6772" w:rsidRDefault="00000000">
      <w:pPr>
        <w:pBdr>
          <w:top w:val="nil"/>
          <w:left w:val="nil"/>
          <w:bottom w:val="nil"/>
          <w:right w:val="nil"/>
          <w:between w:val="nil"/>
        </w:pBdr>
        <w:spacing w:before="240" w:after="120" w:line="240" w:lineRule="auto"/>
        <w:ind w:left="0" w:hanging="2"/>
        <w:rPr>
          <w:rFonts w:ascii="Tahoma" w:eastAsia="Tahoma" w:hAnsi="Tahoma" w:cs="Tahoma"/>
          <w:color w:val="000000"/>
          <w:sz w:val="18"/>
          <w:szCs w:val="18"/>
        </w:rPr>
      </w:pPr>
      <w:r>
        <w:rPr>
          <w:b/>
          <w:smallCaps/>
          <w:color w:val="000000"/>
          <w:sz w:val="18"/>
          <w:szCs w:val="18"/>
        </w:rPr>
        <w:t>TABEL 1. PARAMETER DATA PRODUKSI MAKANAN</w:t>
      </w:r>
    </w:p>
    <w:tbl>
      <w:tblPr>
        <w:tblStyle w:val="TableNormal0"/>
        <w:tblW w:w="44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0"/>
        <w:gridCol w:w="1600"/>
        <w:gridCol w:w="900"/>
        <w:gridCol w:w="1460"/>
      </w:tblGrid>
      <w:tr w:rsidR="00AB6772" w14:paraId="26FD6C12" w14:textId="77777777">
        <w:trPr>
          <w:jc w:val="center"/>
        </w:trPr>
        <w:tc>
          <w:tcPr>
            <w:tcW w:w="500" w:type="dxa"/>
            <w:shd w:val="clear" w:color="auto" w:fill="D9D9D9"/>
            <w:vAlign w:val="center"/>
          </w:tcPr>
          <w:p w14:paraId="1EBD33BD" w14:textId="77777777" w:rsidR="00AB6772" w:rsidRDefault="00000000">
            <w:pPr>
              <w:ind w:left="0" w:hanging="2"/>
            </w:pPr>
            <w:r>
              <w:rPr>
                <w:b/>
                <w:sz w:val="18"/>
                <w:szCs w:val="18"/>
              </w:rPr>
              <w:t>No</w:t>
            </w:r>
          </w:p>
        </w:tc>
        <w:tc>
          <w:tcPr>
            <w:tcW w:w="1600" w:type="dxa"/>
            <w:shd w:val="clear" w:color="auto" w:fill="D9D9D9"/>
            <w:vAlign w:val="center"/>
          </w:tcPr>
          <w:p w14:paraId="5B769587" w14:textId="77777777" w:rsidR="00AB6772" w:rsidRDefault="00000000">
            <w:pPr>
              <w:ind w:left="0" w:hanging="2"/>
            </w:pPr>
            <w:r>
              <w:rPr>
                <w:b/>
                <w:sz w:val="18"/>
                <w:szCs w:val="18"/>
              </w:rPr>
              <w:t>Parameter</w:t>
            </w:r>
          </w:p>
        </w:tc>
        <w:tc>
          <w:tcPr>
            <w:tcW w:w="900" w:type="dxa"/>
            <w:shd w:val="clear" w:color="auto" w:fill="D9D9D9"/>
            <w:vAlign w:val="center"/>
          </w:tcPr>
          <w:p w14:paraId="6F533AE6" w14:textId="77777777" w:rsidR="00AB6772" w:rsidRDefault="00000000">
            <w:pPr>
              <w:ind w:left="0" w:hanging="2"/>
            </w:pPr>
            <w:proofErr w:type="spellStart"/>
            <w:r>
              <w:rPr>
                <w:b/>
                <w:sz w:val="18"/>
                <w:szCs w:val="18"/>
              </w:rPr>
              <w:t>Satuan</w:t>
            </w:r>
            <w:proofErr w:type="spellEnd"/>
          </w:p>
        </w:tc>
        <w:tc>
          <w:tcPr>
            <w:tcW w:w="1460" w:type="dxa"/>
            <w:shd w:val="clear" w:color="auto" w:fill="D9D9D9"/>
            <w:vAlign w:val="center"/>
          </w:tcPr>
          <w:p w14:paraId="6707881B" w14:textId="77777777" w:rsidR="00AB6772" w:rsidRDefault="00000000">
            <w:pPr>
              <w:ind w:left="0" w:hanging="2"/>
            </w:pPr>
            <w:proofErr w:type="spellStart"/>
            <w:r>
              <w:rPr>
                <w:b/>
                <w:sz w:val="18"/>
                <w:szCs w:val="18"/>
              </w:rPr>
              <w:t>Keterangan</w:t>
            </w:r>
            <w:proofErr w:type="spellEnd"/>
          </w:p>
        </w:tc>
      </w:tr>
      <w:tr w:rsidR="00AB6772" w14:paraId="39E4DBB3" w14:textId="77777777">
        <w:trPr>
          <w:jc w:val="center"/>
        </w:trPr>
        <w:tc>
          <w:tcPr>
            <w:tcW w:w="500" w:type="dxa"/>
            <w:vAlign w:val="center"/>
          </w:tcPr>
          <w:p w14:paraId="6327B678" w14:textId="77777777" w:rsidR="00AB6772" w:rsidRDefault="00000000">
            <w:pPr>
              <w:ind w:left="0" w:hanging="2"/>
            </w:pPr>
            <w:r>
              <w:rPr>
                <w:sz w:val="18"/>
                <w:szCs w:val="18"/>
              </w:rPr>
              <w:t>1</w:t>
            </w:r>
          </w:p>
        </w:tc>
        <w:tc>
          <w:tcPr>
            <w:tcW w:w="1600" w:type="dxa"/>
            <w:vAlign w:val="center"/>
          </w:tcPr>
          <w:p w14:paraId="059001D3" w14:textId="77777777" w:rsidR="00AB6772" w:rsidRDefault="00000000">
            <w:pPr>
              <w:ind w:left="0" w:hanging="2"/>
            </w:pPr>
            <w:proofErr w:type="spellStart"/>
            <w:r>
              <w:rPr>
                <w:sz w:val="18"/>
                <w:szCs w:val="18"/>
              </w:rPr>
              <w:t>Suhu</w:t>
            </w:r>
            <w:proofErr w:type="spellEnd"/>
            <w:r>
              <w:rPr>
                <w:sz w:val="18"/>
                <w:szCs w:val="18"/>
              </w:rPr>
              <w:t xml:space="preserve"> </w:t>
            </w:r>
            <w:proofErr w:type="spellStart"/>
            <w:r>
              <w:rPr>
                <w:sz w:val="18"/>
                <w:szCs w:val="18"/>
              </w:rPr>
              <w:t>pemasakan</w:t>
            </w:r>
            <w:proofErr w:type="spellEnd"/>
          </w:p>
        </w:tc>
        <w:tc>
          <w:tcPr>
            <w:tcW w:w="900" w:type="dxa"/>
            <w:vAlign w:val="center"/>
          </w:tcPr>
          <w:p w14:paraId="00A2A22B" w14:textId="77777777" w:rsidR="00AB6772" w:rsidRDefault="00000000">
            <w:pPr>
              <w:ind w:left="0" w:hanging="2"/>
            </w:pPr>
            <w:r>
              <w:rPr>
                <w:sz w:val="18"/>
                <w:szCs w:val="18"/>
              </w:rPr>
              <w:t>°C</w:t>
            </w:r>
          </w:p>
        </w:tc>
        <w:tc>
          <w:tcPr>
            <w:tcW w:w="1460" w:type="dxa"/>
            <w:vAlign w:val="center"/>
          </w:tcPr>
          <w:p w14:paraId="7A340D08" w14:textId="77777777" w:rsidR="00AB6772" w:rsidRDefault="00000000">
            <w:pPr>
              <w:ind w:left="0" w:hanging="2"/>
            </w:pPr>
            <w:proofErr w:type="spellStart"/>
            <w:r>
              <w:rPr>
                <w:sz w:val="18"/>
                <w:szCs w:val="18"/>
              </w:rPr>
              <w:t>Suhu</w:t>
            </w:r>
            <w:proofErr w:type="spellEnd"/>
            <w:r>
              <w:rPr>
                <w:sz w:val="18"/>
                <w:szCs w:val="18"/>
              </w:rPr>
              <w:t xml:space="preserve"> </w:t>
            </w:r>
            <w:proofErr w:type="spellStart"/>
            <w:r>
              <w:rPr>
                <w:sz w:val="18"/>
                <w:szCs w:val="18"/>
              </w:rPr>
              <w:t>selama</w:t>
            </w:r>
            <w:proofErr w:type="spellEnd"/>
            <w:r>
              <w:rPr>
                <w:sz w:val="18"/>
                <w:szCs w:val="18"/>
              </w:rPr>
              <w:t xml:space="preserve"> proses </w:t>
            </w:r>
            <w:proofErr w:type="spellStart"/>
            <w:r>
              <w:rPr>
                <w:sz w:val="18"/>
                <w:szCs w:val="18"/>
              </w:rPr>
              <w:t>pemasakan</w:t>
            </w:r>
            <w:proofErr w:type="spellEnd"/>
          </w:p>
        </w:tc>
      </w:tr>
      <w:tr w:rsidR="00AB6772" w14:paraId="37FD6D3E" w14:textId="77777777">
        <w:trPr>
          <w:jc w:val="center"/>
        </w:trPr>
        <w:tc>
          <w:tcPr>
            <w:tcW w:w="500" w:type="dxa"/>
            <w:vAlign w:val="center"/>
          </w:tcPr>
          <w:p w14:paraId="1BCD47B5" w14:textId="77777777" w:rsidR="00AB6772" w:rsidRDefault="00000000">
            <w:pPr>
              <w:ind w:left="0" w:hanging="2"/>
            </w:pPr>
            <w:r>
              <w:rPr>
                <w:sz w:val="18"/>
                <w:szCs w:val="18"/>
              </w:rPr>
              <w:t>2</w:t>
            </w:r>
          </w:p>
        </w:tc>
        <w:tc>
          <w:tcPr>
            <w:tcW w:w="1600" w:type="dxa"/>
            <w:vAlign w:val="center"/>
          </w:tcPr>
          <w:p w14:paraId="2D44B0E3" w14:textId="77777777" w:rsidR="00AB6772" w:rsidRDefault="00000000">
            <w:pPr>
              <w:ind w:left="0" w:hanging="2"/>
            </w:pPr>
            <w:r>
              <w:rPr>
                <w:sz w:val="18"/>
                <w:szCs w:val="18"/>
              </w:rPr>
              <w:t xml:space="preserve">Waktu </w:t>
            </w:r>
            <w:proofErr w:type="spellStart"/>
            <w:r>
              <w:rPr>
                <w:sz w:val="18"/>
                <w:szCs w:val="18"/>
              </w:rPr>
              <w:t>pemasakan</w:t>
            </w:r>
            <w:proofErr w:type="spellEnd"/>
          </w:p>
        </w:tc>
        <w:tc>
          <w:tcPr>
            <w:tcW w:w="900" w:type="dxa"/>
            <w:vAlign w:val="center"/>
          </w:tcPr>
          <w:p w14:paraId="3F42CEE7" w14:textId="77777777" w:rsidR="00AB6772" w:rsidRDefault="00000000">
            <w:pPr>
              <w:ind w:left="0" w:hanging="2"/>
            </w:pPr>
            <w:proofErr w:type="spellStart"/>
            <w:r>
              <w:rPr>
                <w:sz w:val="18"/>
                <w:szCs w:val="18"/>
              </w:rPr>
              <w:t>Menit</w:t>
            </w:r>
            <w:proofErr w:type="spellEnd"/>
          </w:p>
        </w:tc>
        <w:tc>
          <w:tcPr>
            <w:tcW w:w="1460" w:type="dxa"/>
            <w:vAlign w:val="center"/>
          </w:tcPr>
          <w:p w14:paraId="010856FA" w14:textId="77777777" w:rsidR="00AB6772" w:rsidRDefault="00000000">
            <w:pPr>
              <w:ind w:left="0" w:hanging="2"/>
            </w:pPr>
            <w:proofErr w:type="spellStart"/>
            <w:r>
              <w:rPr>
                <w:sz w:val="18"/>
                <w:szCs w:val="18"/>
              </w:rPr>
              <w:t>Durasi</w:t>
            </w:r>
            <w:proofErr w:type="spellEnd"/>
            <w:r>
              <w:rPr>
                <w:sz w:val="18"/>
                <w:szCs w:val="18"/>
              </w:rPr>
              <w:t xml:space="preserve"> </w:t>
            </w:r>
            <w:proofErr w:type="spellStart"/>
            <w:r>
              <w:rPr>
                <w:sz w:val="18"/>
                <w:szCs w:val="18"/>
              </w:rPr>
              <w:t>pemasakan</w:t>
            </w:r>
            <w:proofErr w:type="spellEnd"/>
          </w:p>
        </w:tc>
      </w:tr>
      <w:tr w:rsidR="00AB6772" w14:paraId="1E2E8237" w14:textId="77777777">
        <w:trPr>
          <w:jc w:val="center"/>
        </w:trPr>
        <w:tc>
          <w:tcPr>
            <w:tcW w:w="500" w:type="dxa"/>
            <w:vAlign w:val="center"/>
          </w:tcPr>
          <w:p w14:paraId="1054B4C0" w14:textId="77777777" w:rsidR="00AB6772" w:rsidRDefault="00000000">
            <w:pPr>
              <w:ind w:left="0" w:hanging="2"/>
            </w:pPr>
            <w:r>
              <w:rPr>
                <w:sz w:val="18"/>
                <w:szCs w:val="18"/>
              </w:rPr>
              <w:t>3</w:t>
            </w:r>
          </w:p>
        </w:tc>
        <w:tc>
          <w:tcPr>
            <w:tcW w:w="1600" w:type="dxa"/>
            <w:vAlign w:val="center"/>
          </w:tcPr>
          <w:p w14:paraId="1CA6E4CC" w14:textId="77777777" w:rsidR="00AB6772" w:rsidRDefault="00000000">
            <w:pPr>
              <w:ind w:left="0" w:hanging="2"/>
            </w:pPr>
            <w:proofErr w:type="spellStart"/>
            <w:r>
              <w:rPr>
                <w:sz w:val="18"/>
                <w:szCs w:val="18"/>
              </w:rPr>
              <w:t>Jenis</w:t>
            </w:r>
            <w:proofErr w:type="spellEnd"/>
            <w:r>
              <w:rPr>
                <w:sz w:val="18"/>
                <w:szCs w:val="18"/>
              </w:rPr>
              <w:t xml:space="preserve"> </w:t>
            </w:r>
            <w:proofErr w:type="spellStart"/>
            <w:r>
              <w:rPr>
                <w:sz w:val="18"/>
                <w:szCs w:val="18"/>
              </w:rPr>
              <w:t>produk</w:t>
            </w:r>
            <w:proofErr w:type="spellEnd"/>
          </w:p>
        </w:tc>
        <w:tc>
          <w:tcPr>
            <w:tcW w:w="900" w:type="dxa"/>
            <w:vAlign w:val="center"/>
          </w:tcPr>
          <w:p w14:paraId="49A41EAE" w14:textId="77777777" w:rsidR="00AB6772" w:rsidRDefault="00000000">
            <w:pPr>
              <w:ind w:left="0" w:hanging="2"/>
            </w:pPr>
            <w:proofErr w:type="spellStart"/>
            <w:r>
              <w:rPr>
                <w:sz w:val="18"/>
                <w:szCs w:val="18"/>
              </w:rPr>
              <w:t>Kategori</w:t>
            </w:r>
            <w:proofErr w:type="spellEnd"/>
          </w:p>
        </w:tc>
        <w:tc>
          <w:tcPr>
            <w:tcW w:w="1460" w:type="dxa"/>
            <w:vAlign w:val="center"/>
          </w:tcPr>
          <w:p w14:paraId="3839D85F" w14:textId="77777777" w:rsidR="00AB6772" w:rsidRDefault="00000000">
            <w:pPr>
              <w:ind w:left="0" w:hanging="2"/>
            </w:pPr>
            <w:proofErr w:type="spellStart"/>
            <w:proofErr w:type="gramStart"/>
            <w:r>
              <w:rPr>
                <w:sz w:val="18"/>
                <w:szCs w:val="18"/>
              </w:rPr>
              <w:t>Jenis</w:t>
            </w:r>
            <w:proofErr w:type="spellEnd"/>
            <w:proofErr w:type="gramEnd"/>
            <w:r>
              <w:rPr>
                <w:sz w:val="18"/>
                <w:szCs w:val="18"/>
              </w:rPr>
              <w:t xml:space="preserve"> menu/</w:t>
            </w:r>
            <w:proofErr w:type="spellStart"/>
            <w:r>
              <w:rPr>
                <w:sz w:val="18"/>
                <w:szCs w:val="18"/>
              </w:rPr>
              <w:t>produk</w:t>
            </w:r>
            <w:proofErr w:type="spellEnd"/>
            <w:r>
              <w:rPr>
                <w:sz w:val="18"/>
                <w:szCs w:val="18"/>
              </w:rPr>
              <w:t xml:space="preserve"> </w:t>
            </w:r>
            <w:proofErr w:type="spellStart"/>
            <w:r>
              <w:rPr>
                <w:sz w:val="18"/>
                <w:szCs w:val="18"/>
              </w:rPr>
              <w:t>boga</w:t>
            </w:r>
            <w:proofErr w:type="spellEnd"/>
          </w:p>
        </w:tc>
      </w:tr>
      <w:tr w:rsidR="00AB6772" w14:paraId="37BBE95F" w14:textId="77777777">
        <w:trPr>
          <w:jc w:val="center"/>
        </w:trPr>
        <w:tc>
          <w:tcPr>
            <w:tcW w:w="500" w:type="dxa"/>
            <w:vAlign w:val="center"/>
          </w:tcPr>
          <w:p w14:paraId="79463951" w14:textId="77777777" w:rsidR="00AB6772" w:rsidRDefault="00000000">
            <w:pPr>
              <w:ind w:left="0" w:hanging="2"/>
            </w:pPr>
            <w:r>
              <w:rPr>
                <w:sz w:val="18"/>
                <w:szCs w:val="18"/>
              </w:rPr>
              <w:t>4</w:t>
            </w:r>
          </w:p>
        </w:tc>
        <w:tc>
          <w:tcPr>
            <w:tcW w:w="1600" w:type="dxa"/>
            <w:vAlign w:val="center"/>
          </w:tcPr>
          <w:p w14:paraId="1611C141" w14:textId="77777777" w:rsidR="00AB6772" w:rsidRDefault="00000000">
            <w:pPr>
              <w:ind w:left="0" w:hanging="2"/>
            </w:pPr>
            <w:r>
              <w:rPr>
                <w:sz w:val="18"/>
                <w:szCs w:val="18"/>
              </w:rPr>
              <w:t xml:space="preserve">Hasil </w:t>
            </w:r>
            <w:proofErr w:type="spellStart"/>
            <w:r>
              <w:rPr>
                <w:sz w:val="18"/>
                <w:szCs w:val="18"/>
              </w:rPr>
              <w:t>kualitas</w:t>
            </w:r>
            <w:proofErr w:type="spellEnd"/>
          </w:p>
        </w:tc>
        <w:tc>
          <w:tcPr>
            <w:tcW w:w="900" w:type="dxa"/>
            <w:vAlign w:val="center"/>
          </w:tcPr>
          <w:p w14:paraId="422F9296" w14:textId="77777777" w:rsidR="00AB6772" w:rsidRDefault="00000000">
            <w:pPr>
              <w:ind w:left="0" w:hanging="2"/>
            </w:pPr>
            <w:proofErr w:type="spellStart"/>
            <w:r>
              <w:rPr>
                <w:sz w:val="18"/>
                <w:szCs w:val="18"/>
              </w:rPr>
              <w:t>Kategori</w:t>
            </w:r>
            <w:proofErr w:type="spellEnd"/>
          </w:p>
        </w:tc>
        <w:tc>
          <w:tcPr>
            <w:tcW w:w="1460" w:type="dxa"/>
            <w:vAlign w:val="center"/>
          </w:tcPr>
          <w:p w14:paraId="36175245" w14:textId="77777777" w:rsidR="00AB6772" w:rsidRDefault="00000000">
            <w:pPr>
              <w:ind w:left="0" w:hanging="2"/>
            </w:pPr>
            <w:proofErr w:type="spellStart"/>
            <w:r>
              <w:rPr>
                <w:sz w:val="18"/>
                <w:szCs w:val="18"/>
              </w:rPr>
              <w:t>Baik</w:t>
            </w:r>
            <w:proofErr w:type="spellEnd"/>
            <w:r>
              <w:rPr>
                <w:sz w:val="18"/>
                <w:szCs w:val="18"/>
              </w:rPr>
              <w:t xml:space="preserve"> / </w:t>
            </w:r>
            <w:proofErr w:type="spellStart"/>
            <w:r>
              <w:rPr>
                <w:sz w:val="18"/>
                <w:szCs w:val="18"/>
              </w:rPr>
              <w:t>Cukup</w:t>
            </w:r>
            <w:proofErr w:type="spellEnd"/>
            <w:r>
              <w:rPr>
                <w:sz w:val="18"/>
                <w:szCs w:val="18"/>
              </w:rPr>
              <w:t xml:space="preserve"> / Kurang</w:t>
            </w:r>
          </w:p>
        </w:tc>
      </w:tr>
    </w:tbl>
    <w:p w14:paraId="3EF4C637"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Tabel 1 menunjukkan bahwa data produksi yang digunakan bersifat sederhana dan relevan dengan praktik boga, sehingga sesuai untuk dianalisis menggunakan pembelajaran mesin ringan. Kesederhanaan struktur data ini juga menjadi salah satu alasan utama pemilihan decision tree sebagai metode analisis, karena algoritma tersebut tidak memerlukan volume data yang besar untuk menghasilkan aturan keputusan yang bermakna.</w:t>
      </w:r>
    </w:p>
    <w:p w14:paraId="4F650A9D" w14:textId="77777777" w:rsidR="00AB6772" w:rsidRDefault="00000000">
      <w:pPr>
        <w:pStyle w:val="Heading2"/>
        <w:numPr>
          <w:ilvl w:val="1"/>
          <w:numId w:val="4"/>
        </w:numPr>
        <w:ind w:left="0" w:hanging="2"/>
        <w:rPr>
          <w:rFonts w:ascii="Tahoma" w:eastAsia="Tahoma" w:hAnsi="Tahoma" w:cs="Tahoma"/>
          <w:color w:val="000000"/>
          <w:sz w:val="22"/>
          <w:szCs w:val="22"/>
        </w:rPr>
      </w:pPr>
      <w:r>
        <w:rPr>
          <w:b/>
          <w:i w:val="0"/>
          <w:color w:val="000000"/>
          <w:sz w:val="22"/>
          <w:szCs w:val="22"/>
        </w:rPr>
        <w:t>Hasil Analisis Decision Tree</w:t>
      </w:r>
    </w:p>
    <w:p w14:paraId="725512AE"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Analisis menggunakan metode decision tree menghasilkan aturan keputusan yang menggambarkan hubungan antara parameter proses dan kualitas produk makanan.</w:t>
      </w:r>
    </w:p>
    <w:p w14:paraId="44BAA1C2" w14:textId="77777777" w:rsidR="00AB6772" w:rsidRDefault="00000000">
      <w:pPr>
        <w:ind w:left="0" w:hanging="2"/>
      </w:pPr>
      <w:r>
        <w:rPr>
          <w:noProof/>
        </w:rPr>
        <w:drawing>
          <wp:inline distT="0" distB="0" distL="0" distR="0" wp14:anchorId="129B8108" wp14:editId="72B1C6FA">
            <wp:extent cx="2768803" cy="23500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png"/>
                    <pic:cNvPicPr/>
                  </pic:nvPicPr>
                  <pic:blipFill>
                    <a:blip r:embed="rId9"/>
                    <a:stretch>
                      <a:fillRect/>
                    </a:stretch>
                  </pic:blipFill>
                  <pic:spPr>
                    <a:xfrm>
                      <a:off x="0" y="0"/>
                      <a:ext cx="2768803" cy="2350008"/>
                    </a:xfrm>
                    <a:prstGeom prst="rect">
                      <a:avLst/>
                    </a:prstGeom>
                  </pic:spPr>
                </pic:pic>
              </a:graphicData>
            </a:graphic>
          </wp:inline>
        </w:drawing>
      </w:r>
    </w:p>
    <w:p w14:paraId="46DC75C1" w14:textId="77777777" w:rsidR="00AB6772" w:rsidRPr="00D918FF" w:rsidRDefault="00000000">
      <w:pPr>
        <w:pBdr>
          <w:top w:val="nil"/>
          <w:left w:val="nil"/>
          <w:bottom w:val="nil"/>
          <w:right w:val="nil"/>
          <w:between w:val="nil"/>
        </w:pBdr>
        <w:spacing w:before="80" w:after="200" w:line="240" w:lineRule="auto"/>
        <w:ind w:left="0" w:hanging="2"/>
        <w:rPr>
          <w:rFonts w:ascii="Tahoma" w:eastAsia="Tahoma" w:hAnsi="Tahoma" w:cs="Tahoma"/>
          <w:color w:val="000000"/>
          <w:sz w:val="29"/>
          <w:szCs w:val="29"/>
          <w:lang w:val="sv-SE"/>
        </w:rPr>
      </w:pPr>
      <w:r w:rsidRPr="00D918FF">
        <w:rPr>
          <w:b/>
          <w:color w:val="000000"/>
          <w:sz w:val="18"/>
          <w:szCs w:val="18"/>
          <w:lang w:val="sv-SE"/>
        </w:rPr>
        <w:t>Gambar 2. Struktur Pohon Keputusan (Decision Tree) Produksi Makanan</w:t>
      </w:r>
    </w:p>
    <w:p w14:paraId="129E44A2"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Gambar 2 menunjukkan struktur pohon keputusan yang menghubungkan parameter suhu dan waktu pemasakan dengan kategori kualitas produk. Setiap percabangan merepresentasikan aturan keputusan yang dapat digunakan sebagai panduan dalam proses produksi. Struktur pohon yang relatif dangkal (shallow tree) pada penelitian ini sengaja dipertahankan agar aturan yang dihasilkan tetap mudah dibaca dan diterapkan langsung oleh praktisi boga tanpa memerlukan keahlian analisis data yang mendalam.</w:t>
      </w:r>
    </w:p>
    <w:p w14:paraId="5CBBB452" w14:textId="77777777" w:rsidR="00AB6772" w:rsidRDefault="00000000">
      <w:pPr>
        <w:pStyle w:val="Heading2"/>
        <w:numPr>
          <w:ilvl w:val="1"/>
          <w:numId w:val="4"/>
        </w:numPr>
        <w:ind w:left="0" w:hanging="2"/>
        <w:rPr>
          <w:rFonts w:ascii="Tahoma" w:eastAsia="Tahoma" w:hAnsi="Tahoma" w:cs="Tahoma"/>
          <w:color w:val="000000"/>
          <w:sz w:val="22"/>
          <w:szCs w:val="22"/>
        </w:rPr>
      </w:pPr>
      <w:r>
        <w:rPr>
          <w:b/>
          <w:i w:val="0"/>
          <w:color w:val="000000"/>
          <w:sz w:val="22"/>
          <w:szCs w:val="22"/>
        </w:rPr>
        <w:lastRenderedPageBreak/>
        <w:t>Contoh Aturan Keputusan</w:t>
      </w:r>
    </w:p>
    <w:p w14:paraId="280193D8" w14:textId="77777777" w:rsidR="00AB6772"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rPr>
      </w:pPr>
      <w:proofErr w:type="spellStart"/>
      <w:r>
        <w:rPr>
          <w:color w:val="000000"/>
          <w:sz w:val="22"/>
          <w:szCs w:val="22"/>
        </w:rPr>
        <w:t>Berdasarkan</w:t>
      </w:r>
      <w:proofErr w:type="spellEnd"/>
      <w:r>
        <w:rPr>
          <w:color w:val="000000"/>
          <w:sz w:val="22"/>
          <w:szCs w:val="22"/>
        </w:rPr>
        <w:t xml:space="preserve"> </w:t>
      </w:r>
      <w:proofErr w:type="spellStart"/>
      <w:r>
        <w:rPr>
          <w:color w:val="000000"/>
          <w:sz w:val="22"/>
          <w:szCs w:val="22"/>
        </w:rPr>
        <w:t>hasil</w:t>
      </w:r>
      <w:proofErr w:type="spellEnd"/>
      <w:r>
        <w:rPr>
          <w:color w:val="000000"/>
          <w:sz w:val="22"/>
          <w:szCs w:val="22"/>
        </w:rPr>
        <w:t xml:space="preserve"> </w:t>
      </w:r>
      <w:proofErr w:type="spellStart"/>
      <w:r>
        <w:rPr>
          <w:color w:val="000000"/>
          <w:sz w:val="22"/>
          <w:szCs w:val="22"/>
        </w:rPr>
        <w:t>analisis</w:t>
      </w:r>
      <w:proofErr w:type="spellEnd"/>
      <w:r>
        <w:rPr>
          <w:color w:val="000000"/>
          <w:sz w:val="22"/>
          <w:szCs w:val="22"/>
        </w:rPr>
        <w:t xml:space="preserve"> decision tree, </w:t>
      </w:r>
      <w:proofErr w:type="spellStart"/>
      <w:r>
        <w:rPr>
          <w:color w:val="000000"/>
          <w:sz w:val="22"/>
          <w:szCs w:val="22"/>
        </w:rPr>
        <w:t>diperoleh</w:t>
      </w:r>
      <w:proofErr w:type="spellEnd"/>
      <w:r>
        <w:rPr>
          <w:color w:val="000000"/>
          <w:sz w:val="22"/>
          <w:szCs w:val="22"/>
        </w:rPr>
        <w:t xml:space="preserve"> </w:t>
      </w:r>
      <w:proofErr w:type="spellStart"/>
      <w:r>
        <w:rPr>
          <w:color w:val="000000"/>
          <w:sz w:val="22"/>
          <w:szCs w:val="22"/>
        </w:rPr>
        <w:t>beberapa</w:t>
      </w:r>
      <w:proofErr w:type="spellEnd"/>
      <w:r>
        <w:rPr>
          <w:color w:val="000000"/>
          <w:sz w:val="22"/>
          <w:szCs w:val="22"/>
        </w:rPr>
        <w:t xml:space="preserve"> </w:t>
      </w:r>
      <w:proofErr w:type="spellStart"/>
      <w:r>
        <w:rPr>
          <w:color w:val="000000"/>
          <w:sz w:val="22"/>
          <w:szCs w:val="22"/>
        </w:rPr>
        <w:t>aturan</w:t>
      </w:r>
      <w:proofErr w:type="spellEnd"/>
      <w:r>
        <w:rPr>
          <w:color w:val="000000"/>
          <w:sz w:val="22"/>
          <w:szCs w:val="22"/>
        </w:rPr>
        <w:t xml:space="preserve"> </w:t>
      </w:r>
      <w:proofErr w:type="spellStart"/>
      <w:r>
        <w:rPr>
          <w:color w:val="000000"/>
          <w:sz w:val="22"/>
          <w:szCs w:val="22"/>
        </w:rPr>
        <w:t>keputusan</w:t>
      </w:r>
      <w:proofErr w:type="spellEnd"/>
      <w:r>
        <w:rPr>
          <w:color w:val="000000"/>
          <w:sz w:val="22"/>
          <w:szCs w:val="22"/>
        </w:rPr>
        <w:t xml:space="preserve"> </w:t>
      </w:r>
      <w:proofErr w:type="spellStart"/>
      <w:r>
        <w:rPr>
          <w:color w:val="000000"/>
          <w:sz w:val="22"/>
          <w:szCs w:val="22"/>
        </w:rPr>
        <w:t>sebagai</w:t>
      </w:r>
      <w:proofErr w:type="spellEnd"/>
      <w:r>
        <w:rPr>
          <w:color w:val="000000"/>
          <w:sz w:val="22"/>
          <w:szCs w:val="22"/>
        </w:rPr>
        <w:t xml:space="preserve"> </w:t>
      </w:r>
      <w:proofErr w:type="spellStart"/>
      <w:r>
        <w:rPr>
          <w:color w:val="000000"/>
          <w:sz w:val="22"/>
          <w:szCs w:val="22"/>
        </w:rPr>
        <w:t>berikut</w:t>
      </w:r>
      <w:proofErr w:type="spellEnd"/>
      <w:r>
        <w:rPr>
          <w:color w:val="000000"/>
          <w:sz w:val="22"/>
          <w:szCs w:val="22"/>
        </w:rPr>
        <w:t>.</w:t>
      </w:r>
    </w:p>
    <w:p w14:paraId="5F918814" w14:textId="77777777" w:rsidR="00AB6772" w:rsidRDefault="00000000">
      <w:pPr>
        <w:pBdr>
          <w:top w:val="nil"/>
          <w:left w:val="nil"/>
          <w:bottom w:val="nil"/>
          <w:right w:val="nil"/>
          <w:between w:val="nil"/>
        </w:pBdr>
        <w:spacing w:before="240" w:after="120" w:line="240" w:lineRule="auto"/>
        <w:ind w:left="0" w:hanging="2"/>
        <w:rPr>
          <w:rFonts w:ascii="Tahoma" w:eastAsia="Tahoma" w:hAnsi="Tahoma" w:cs="Tahoma"/>
          <w:color w:val="000000"/>
          <w:sz w:val="18"/>
          <w:szCs w:val="18"/>
        </w:rPr>
      </w:pPr>
      <w:r>
        <w:rPr>
          <w:b/>
          <w:smallCaps/>
          <w:color w:val="000000"/>
          <w:sz w:val="18"/>
          <w:szCs w:val="18"/>
        </w:rPr>
        <w:t>TABEL 2. CONTOH ATURAN KEPUTUSAN PRODUKSI MAKANAN</w:t>
      </w:r>
    </w:p>
    <w:tbl>
      <w:tblPr>
        <w:tblStyle w:val="TableNormal0"/>
        <w:tblW w:w="44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0"/>
        <w:gridCol w:w="3960"/>
      </w:tblGrid>
      <w:tr w:rsidR="00AB6772" w14:paraId="7C2EF15B" w14:textId="77777777">
        <w:trPr>
          <w:jc w:val="center"/>
        </w:trPr>
        <w:tc>
          <w:tcPr>
            <w:tcW w:w="500" w:type="dxa"/>
            <w:shd w:val="clear" w:color="auto" w:fill="D9D9D9"/>
            <w:vAlign w:val="center"/>
          </w:tcPr>
          <w:p w14:paraId="6D1E5376" w14:textId="77777777" w:rsidR="00AB6772" w:rsidRDefault="00000000">
            <w:pPr>
              <w:ind w:left="0" w:hanging="2"/>
            </w:pPr>
            <w:r>
              <w:rPr>
                <w:b/>
                <w:sz w:val="18"/>
                <w:szCs w:val="18"/>
              </w:rPr>
              <w:t>No</w:t>
            </w:r>
          </w:p>
        </w:tc>
        <w:tc>
          <w:tcPr>
            <w:tcW w:w="3960" w:type="dxa"/>
            <w:shd w:val="clear" w:color="auto" w:fill="D9D9D9"/>
            <w:vAlign w:val="center"/>
          </w:tcPr>
          <w:p w14:paraId="3F74BACC" w14:textId="77777777" w:rsidR="00AB6772" w:rsidRDefault="00000000">
            <w:pPr>
              <w:ind w:left="0" w:hanging="2"/>
            </w:pPr>
            <w:proofErr w:type="spellStart"/>
            <w:r>
              <w:rPr>
                <w:b/>
                <w:sz w:val="18"/>
                <w:szCs w:val="18"/>
              </w:rPr>
              <w:t>Aturan</w:t>
            </w:r>
            <w:proofErr w:type="spellEnd"/>
            <w:r>
              <w:rPr>
                <w:b/>
                <w:sz w:val="18"/>
                <w:szCs w:val="18"/>
              </w:rPr>
              <w:t xml:space="preserve"> Keputusan</w:t>
            </w:r>
          </w:p>
        </w:tc>
      </w:tr>
      <w:tr w:rsidR="00AB6772" w:rsidRPr="000D787A" w14:paraId="02B82707" w14:textId="77777777">
        <w:trPr>
          <w:jc w:val="center"/>
        </w:trPr>
        <w:tc>
          <w:tcPr>
            <w:tcW w:w="500" w:type="dxa"/>
            <w:vAlign w:val="center"/>
          </w:tcPr>
          <w:p w14:paraId="2FEE3AAD" w14:textId="77777777" w:rsidR="00AB6772" w:rsidRDefault="00000000">
            <w:pPr>
              <w:ind w:left="0" w:hanging="2"/>
            </w:pPr>
            <w:r>
              <w:rPr>
                <w:sz w:val="18"/>
                <w:szCs w:val="18"/>
              </w:rPr>
              <w:t>1</w:t>
            </w:r>
          </w:p>
        </w:tc>
        <w:tc>
          <w:tcPr>
            <w:tcW w:w="3960" w:type="dxa"/>
            <w:vAlign w:val="center"/>
          </w:tcPr>
          <w:p w14:paraId="614DDA2F" w14:textId="77777777" w:rsidR="00AB6772" w:rsidRPr="00D918FF" w:rsidRDefault="00000000">
            <w:pPr>
              <w:ind w:left="0" w:hanging="2"/>
              <w:rPr>
                <w:lang w:val="sv-SE"/>
              </w:rPr>
            </w:pPr>
            <w:r w:rsidRPr="00D918FF">
              <w:rPr>
                <w:sz w:val="18"/>
                <w:szCs w:val="18"/>
                <w:lang w:val="sv-SE"/>
              </w:rPr>
              <w:t>Jika suhu 80–90 °C dan waktu 10–15 menit, maka kualitas produk Baik</w:t>
            </w:r>
          </w:p>
        </w:tc>
      </w:tr>
      <w:tr w:rsidR="00AB6772" w:rsidRPr="000D787A" w14:paraId="55A1F0D8" w14:textId="77777777">
        <w:trPr>
          <w:jc w:val="center"/>
        </w:trPr>
        <w:tc>
          <w:tcPr>
            <w:tcW w:w="500" w:type="dxa"/>
            <w:vAlign w:val="center"/>
          </w:tcPr>
          <w:p w14:paraId="6DBDE4DF" w14:textId="77777777" w:rsidR="00AB6772" w:rsidRDefault="00000000">
            <w:pPr>
              <w:ind w:left="0" w:hanging="2"/>
            </w:pPr>
            <w:r>
              <w:rPr>
                <w:sz w:val="18"/>
                <w:szCs w:val="18"/>
              </w:rPr>
              <w:t>2</w:t>
            </w:r>
          </w:p>
        </w:tc>
        <w:tc>
          <w:tcPr>
            <w:tcW w:w="3960" w:type="dxa"/>
            <w:vAlign w:val="center"/>
          </w:tcPr>
          <w:p w14:paraId="29023B19" w14:textId="77777777" w:rsidR="00AB6772" w:rsidRPr="00D918FF" w:rsidRDefault="00000000">
            <w:pPr>
              <w:ind w:left="0" w:hanging="2"/>
              <w:rPr>
                <w:lang w:val="sv-SE"/>
              </w:rPr>
            </w:pPr>
            <w:r w:rsidRPr="00D918FF">
              <w:rPr>
                <w:sz w:val="18"/>
                <w:szCs w:val="18"/>
                <w:lang w:val="sv-SE"/>
              </w:rPr>
              <w:t>Jika suhu &lt;80 °C dan waktu &lt;10 menit, maka kualitas produk Kurang</w:t>
            </w:r>
          </w:p>
        </w:tc>
      </w:tr>
      <w:tr w:rsidR="00AB6772" w:rsidRPr="000D787A" w14:paraId="383B44C2" w14:textId="77777777">
        <w:trPr>
          <w:jc w:val="center"/>
        </w:trPr>
        <w:tc>
          <w:tcPr>
            <w:tcW w:w="500" w:type="dxa"/>
            <w:vAlign w:val="center"/>
          </w:tcPr>
          <w:p w14:paraId="40A1623D" w14:textId="77777777" w:rsidR="00AB6772" w:rsidRDefault="00000000">
            <w:pPr>
              <w:ind w:left="0" w:hanging="2"/>
            </w:pPr>
            <w:r>
              <w:rPr>
                <w:sz w:val="18"/>
                <w:szCs w:val="18"/>
              </w:rPr>
              <w:t>3</w:t>
            </w:r>
          </w:p>
        </w:tc>
        <w:tc>
          <w:tcPr>
            <w:tcW w:w="3960" w:type="dxa"/>
            <w:vAlign w:val="center"/>
          </w:tcPr>
          <w:p w14:paraId="0A429ADA" w14:textId="77777777" w:rsidR="00AB6772" w:rsidRPr="00D918FF" w:rsidRDefault="00000000">
            <w:pPr>
              <w:ind w:left="0" w:hanging="2"/>
              <w:rPr>
                <w:lang w:val="sv-SE"/>
              </w:rPr>
            </w:pPr>
            <w:r w:rsidRPr="00D918FF">
              <w:rPr>
                <w:sz w:val="18"/>
                <w:szCs w:val="18"/>
                <w:lang w:val="sv-SE"/>
              </w:rPr>
              <w:t>Jika suhu &gt;90 °C dan waktu &gt;15 menit, maka kualitas produk Cukup</w:t>
            </w:r>
          </w:p>
        </w:tc>
      </w:tr>
    </w:tbl>
    <w:p w14:paraId="54C99CB8"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Tabel 2 menunjukkan bahwa metode decision tree mampu menghasilkan aturan keputusan yang mudah dipahami dan dapat digunakan langsung oleh praktisi boga sebagai panduan produksi. Aturan-aturan tersebut memberikan rentang parameter proses yang jelas, sehingga dapat dijadikan acuan standar operasional dalam menjaga konsistensi kualitas produk pada setiap sesi produksi.</w:t>
      </w:r>
    </w:p>
    <w:p w14:paraId="558E1B4E" w14:textId="77777777" w:rsidR="00AB6772" w:rsidRDefault="00000000">
      <w:pPr>
        <w:pStyle w:val="Heading2"/>
        <w:numPr>
          <w:ilvl w:val="1"/>
          <w:numId w:val="4"/>
        </w:numPr>
        <w:ind w:left="0" w:hanging="2"/>
        <w:rPr>
          <w:rFonts w:ascii="Tahoma" w:eastAsia="Tahoma" w:hAnsi="Tahoma" w:cs="Tahoma"/>
          <w:color w:val="000000"/>
          <w:sz w:val="22"/>
          <w:szCs w:val="22"/>
        </w:rPr>
      </w:pPr>
      <w:r>
        <w:rPr>
          <w:b/>
          <w:i w:val="0"/>
          <w:color w:val="000000"/>
          <w:sz w:val="22"/>
          <w:szCs w:val="22"/>
        </w:rPr>
        <w:t>Implikasi Praktis bagi Praktik Boga</w:t>
      </w:r>
    </w:p>
    <w:p w14:paraId="47BA5EB8"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Hasil penelitian ini memiliki sejumlah implikasi praktis bagi pelaku praktik boga, terutama pada lingkungan pendidikan vokasi dan unit produksi kecil. Aturan keputusan yang dihasilkan dapat diintegrasikan ke dalam prosedur operasional standar (SOP) sebagai acuan cepat bagi praktisi dalam menentukan parameter proses yang tepat, tanpa harus bergantung sepenuhnya pada intuisi atau pengalaman individu.</w:t>
      </w:r>
    </w:p>
    <w:p w14:paraId="53D09B73"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Selain itu, pendekatan berbasis pembelajaran mesin ringan yang digunakan dalam penelitian ini memungkinkan replikasi pada konteks produksi lain dengan parameter yang berbeda, selama data pencatatan digital tersedia secara konsisten. Hal ini membuka peluang bagi institusi pendidikan vokasi untuk mengembangkan sistem pendukung keputusan sederhana sebagai bagian dari kurikulum pelatihan berbasis teknologi.</w:t>
      </w:r>
    </w:p>
    <w:p w14:paraId="04E8661E" w14:textId="77777777" w:rsidR="00AB6772" w:rsidRDefault="00000000">
      <w:pPr>
        <w:pStyle w:val="Heading2"/>
        <w:numPr>
          <w:ilvl w:val="1"/>
          <w:numId w:val="4"/>
        </w:numPr>
        <w:ind w:left="0" w:hanging="2"/>
        <w:rPr>
          <w:rFonts w:ascii="Tahoma" w:eastAsia="Tahoma" w:hAnsi="Tahoma" w:cs="Tahoma"/>
          <w:color w:val="000000"/>
          <w:sz w:val="22"/>
          <w:szCs w:val="22"/>
        </w:rPr>
      </w:pPr>
      <w:r>
        <w:rPr>
          <w:b/>
          <w:i w:val="0"/>
          <w:color w:val="000000"/>
          <w:sz w:val="22"/>
          <w:szCs w:val="22"/>
        </w:rPr>
        <w:t>Keterbatasan Penelitian</w:t>
      </w:r>
    </w:p>
    <w:p w14:paraId="62A2507B"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 xml:space="preserve">Penelitian ini memiliki beberapa keterbatasan yang perlu diperhatikan. Pertama, jumlah parameter yang digunakan masih terbatas pada suhu dan waktu pemasakan, sehingga belum mencakup faktor lain yang berpotensi memengaruhi kualitas produk, seperti kelembapan bahan baku atau teknik pengolahan. Kedua, data yang digunakan berasal dari lingkup produksi yang relatif kecil, sehingga </w:t>
      </w:r>
      <w:r w:rsidRPr="00D918FF">
        <w:rPr>
          <w:color w:val="000000"/>
          <w:sz w:val="22"/>
          <w:szCs w:val="22"/>
          <w:lang w:val="sv-SE"/>
        </w:rPr>
        <w:t>generalisasi aturan keputusan pada skala produksi yang lebih besar perlu diuji lebih lanjut.</w:t>
      </w:r>
    </w:p>
    <w:p w14:paraId="07F678BF" w14:textId="77777777" w:rsidR="00AB6772" w:rsidRDefault="00000000">
      <w:pPr>
        <w:pStyle w:val="Heading2"/>
        <w:numPr>
          <w:ilvl w:val="1"/>
          <w:numId w:val="4"/>
        </w:numPr>
        <w:ind w:left="0" w:hanging="2"/>
        <w:rPr>
          <w:rFonts w:ascii="Tahoma" w:eastAsia="Tahoma" w:hAnsi="Tahoma" w:cs="Tahoma"/>
          <w:color w:val="000000"/>
          <w:sz w:val="22"/>
          <w:szCs w:val="22"/>
        </w:rPr>
      </w:pPr>
      <w:r>
        <w:rPr>
          <w:b/>
          <w:i w:val="0"/>
          <w:color w:val="000000"/>
          <w:sz w:val="22"/>
          <w:szCs w:val="22"/>
        </w:rPr>
        <w:t>Pembahasan</w:t>
      </w:r>
    </w:p>
    <w:p w14:paraId="1582E6BF"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Hasil penelitian menunjukkan bahwa pemanfaatan teknologi digital memungkinkan pencatatan data produksi yang lebih konsisten dan terstruktur. Integrasi pembelajaran mesin ringan berfungsi sebagai alat bantu analisis untuk mengidentifikasi pola hubungan antara parameter proses dan kualitas produk makanan.</w:t>
      </w:r>
    </w:p>
    <w:p w14:paraId="59DAD912" w14:textId="2E26D95C"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Pendekatan ini sejalan dengan konsep human-in-the-loop, di mana teknologi mendukung pengambilan keputusan tanpa menggantikan peran keahlian manusia. Hasil penelitian ini memperkuat temuan sebelumnya yang menyatakan bahwa pembelajaran mesin terapan lebih efektif ketika digunakan sebagai sistem pendukung keputusan dalam konteks produksi pangan</w:t>
      </w:r>
      <w:r w:rsidR="006F2EE0">
        <w:rPr>
          <w:color w:val="000000"/>
          <w:sz w:val="22"/>
          <w:szCs w:val="22"/>
          <w:lang w:val="sv-SE"/>
        </w:rPr>
        <w:fldChar w:fldCharType="begin" w:fldLock="1"/>
      </w:r>
      <w:r w:rsidR="006F2EE0">
        <w:rPr>
          <w:color w:val="000000"/>
          <w:sz w:val="22"/>
          <w:szCs w:val="22"/>
          <w:lang w:val="sv-SE"/>
        </w:rPr>
        <w:instrText>ADDIN CSL_CITATION {"citationItems":[{"id":"ITEM-1","itemData":{"DOI":"https://doi.org/10.1016/j.foodres.2025.116156","ISSN":"0963-9969","abstract":"Real-world decision support systems (DSS) operate in a continuous cycle of data collection, annotation, and model optimization, heavily relying on high-quality data. However, acquiring such data, particularly in specialized fields, is often expensive and resource-intensive, presenting significant challenges. To mitigate these challenges, recent machine learning research has increasingly focused on integrating experimental data and expert knowledge into user-friendly tools. In this paper, we present a novel framework named the Model-Human-interaction Risk Assessment (MHRA), which leverages human interaction and collaborative scenario construction to achieve better performance. We address the increasing demand for a ‘Human in the loop (HITL)’ approach, which ensures the updateability of expert system knowledge bases during the input, selection, calculation, and ranking phases. Furthermore, we highlight the contributions of a human interactive simulation model in developing enhanced systems to assist decision-makers in maximizing the accuracy and standardization of evaluation models while minimizing food safety risks. We demonstrate the practical application of our framework through an infant food assessment case study and discuss the model's strengths and limitations.","author":[{"dropping-particle":"","family":"Jin","given":"Canghong","non-dropping-particle":"","parse-names":false,"suffix":""},{"dropping-particle":"","family":"Xiao","given":"Yuanhong","non-dropping-particle":"","parse-names":false,"suffix":""},{"dropping-particle":"","family":"Wu","given":"Hao","non-dropping-particle":"","parse-names":false,"suffix":""},{"dropping-particle":"","family":"Ji","given":"Xiaofeng","non-dropping-particle":"","parse-names":false,"suffix":""},{"dropping-particle":"","family":"Li","given":"Guang","non-dropping-particle":"","parse-names":false,"suffix":""},{"dropping-particle":"","family":"Shuai","given":"Jiangbing","non-dropping-particle":"","parse-names":false,"suffix":""},{"dropping-particle":"","family":"Yang","given":"Pinfeng","non-dropping-particle":"","parse-names":false,"suffix":""},{"dropping-particle":"","family":"Xiong","given":"Lina","non-dropping-particle":"","parse-names":false,"suffix":""}],"container-title":"Food Research International","id":"ITEM-1","issued":{"date-parts":[["2025"]]},"page":"116156","title":"Human-model interaction-based decision support system for optimizing food safety assessment","type":"article-journal","volume":"208"},"uris":["http://www.mendeley.com/documents/?uuid=2275df00-0a82-4e91-b29c-b0a48cfd390b"]}],"mendeley":{"formattedCitation":"[26]","plainTextFormattedCitation":"[26]","previouslyFormattedCitation":"[26]"},"properties":{"noteIndex":0},"schema":"https://github.com/citation-style-language/schema/raw/master/csl-citation.json"}</w:instrText>
      </w:r>
      <w:r w:rsidR="006F2EE0">
        <w:rPr>
          <w:color w:val="000000"/>
          <w:sz w:val="22"/>
          <w:szCs w:val="22"/>
          <w:lang w:val="sv-SE"/>
        </w:rPr>
        <w:fldChar w:fldCharType="separate"/>
      </w:r>
      <w:r w:rsidR="006F2EE0" w:rsidRPr="006F2EE0">
        <w:rPr>
          <w:noProof/>
          <w:color w:val="000000"/>
          <w:sz w:val="22"/>
          <w:szCs w:val="22"/>
          <w:lang w:val="sv-SE"/>
        </w:rPr>
        <w:t>[26]</w:t>
      </w:r>
      <w:r w:rsidR="006F2EE0">
        <w:rPr>
          <w:color w:val="000000"/>
          <w:sz w:val="22"/>
          <w:szCs w:val="22"/>
          <w:lang w:val="sv-SE"/>
        </w:rPr>
        <w:fldChar w:fldCharType="end"/>
      </w:r>
      <w:r w:rsidRPr="00D918FF">
        <w:rPr>
          <w:color w:val="000000"/>
          <w:sz w:val="22"/>
          <w:szCs w:val="22"/>
          <w:lang w:val="sv-SE"/>
        </w:rPr>
        <w:t>.</w:t>
      </w:r>
    </w:p>
    <w:p w14:paraId="3BC65D68" w14:textId="77777777" w:rsidR="00AB6772" w:rsidRDefault="00000000">
      <w:pPr>
        <w:pStyle w:val="Heading1"/>
        <w:numPr>
          <w:ilvl w:val="0"/>
          <w:numId w:val="3"/>
        </w:numPr>
        <w:ind w:hanging="2"/>
        <w:rPr>
          <w:rFonts w:ascii="Tahoma" w:eastAsia="Tahoma" w:hAnsi="Tahoma" w:cs="Tahoma"/>
          <w:color w:val="000000"/>
          <w:sz w:val="24"/>
          <w:szCs w:val="24"/>
        </w:rPr>
      </w:pPr>
      <w:r>
        <w:rPr>
          <w:b/>
          <w:smallCaps w:val="0"/>
          <w:color w:val="000000"/>
          <w:sz w:val="24"/>
          <w:szCs w:val="24"/>
        </w:rPr>
        <w:t>KESIMPULAN</w:t>
      </w:r>
    </w:p>
    <w:p w14:paraId="43FA3EC4" w14:textId="77777777" w:rsidR="00AB6772" w:rsidRPr="00D918FF" w:rsidRDefault="00000000">
      <w:pPr>
        <w:pBdr>
          <w:top w:val="nil"/>
          <w:left w:val="nil"/>
          <w:bottom w:val="nil"/>
          <w:right w:val="nil"/>
          <w:between w:val="nil"/>
        </w:pBdr>
        <w:spacing w:after="120" w:line="240" w:lineRule="auto"/>
        <w:ind w:left="0" w:hanging="2"/>
        <w:jc w:val="both"/>
        <w:rPr>
          <w:rFonts w:ascii="Tahoma" w:eastAsia="Tahoma" w:hAnsi="Tahoma" w:cs="Tahoma"/>
          <w:color w:val="000000"/>
          <w:sz w:val="22"/>
          <w:szCs w:val="22"/>
          <w:lang w:val="sv-SE"/>
        </w:rPr>
      </w:pPr>
      <w:r w:rsidRPr="00D918FF">
        <w:rPr>
          <w:color w:val="000000"/>
          <w:sz w:val="22"/>
          <w:szCs w:val="22"/>
          <w:lang w:val="sv-SE"/>
        </w:rPr>
        <w:t>Penelitian ini menunjukkan bahwa integrasi teknologi digital dan pembelajaran mesin ringan dapat mendukung pengambilan keputusan produksi makanan yang aman dan efisien dalam praktik boga. Penggunaan metode decision tree memungkinkan analisis data yang transparan dan mudah dipahami oleh praktisi non-teknis. Penelitian ini berkontribusi pada pengembangan pendekatan terapan dalam praktik boga berbasis teknologi digital, serta membuka peluang penelitian lanjutan dengan data dan konteks yang lebih luas.</w:t>
      </w:r>
    </w:p>
    <w:p w14:paraId="7246B2D3" w14:textId="77777777" w:rsidR="00AB6772" w:rsidRDefault="00000000">
      <w:pPr>
        <w:pStyle w:val="Heading5"/>
        <w:ind w:left="0" w:hanging="2"/>
        <w:rPr>
          <w:rFonts w:ascii="Tahoma" w:eastAsia="Tahoma" w:hAnsi="Tahoma" w:cs="Tahoma"/>
          <w:color w:val="000000"/>
          <w:sz w:val="24"/>
          <w:szCs w:val="24"/>
        </w:rPr>
      </w:pPr>
      <w:r>
        <w:rPr>
          <w:b/>
          <w:smallCaps w:val="0"/>
          <w:color w:val="000000"/>
          <w:sz w:val="24"/>
          <w:szCs w:val="24"/>
        </w:rPr>
        <w:t>REFERENSI</w:t>
      </w:r>
    </w:p>
    <w:p w14:paraId="59808AD3" w14:textId="64A30EF5"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sz w:val="18"/>
          <w:szCs w:val="18"/>
        </w:rPr>
        <w:fldChar w:fldCharType="begin" w:fldLock="1"/>
      </w:r>
      <w:r w:rsidRPr="002B57A0">
        <w:rPr>
          <w:sz w:val="18"/>
          <w:szCs w:val="18"/>
        </w:rPr>
        <w:instrText xml:space="preserve">ADDIN Mendeley Bibliography CSL_BIBLIOGRAPHY </w:instrText>
      </w:r>
      <w:r w:rsidRPr="002B57A0">
        <w:rPr>
          <w:sz w:val="18"/>
          <w:szCs w:val="18"/>
        </w:rPr>
        <w:fldChar w:fldCharType="separate"/>
      </w:r>
      <w:r w:rsidRPr="002B57A0">
        <w:rPr>
          <w:noProof/>
          <w:sz w:val="18"/>
          <w:szCs w:val="18"/>
        </w:rPr>
        <w:t>[1]</w:t>
      </w:r>
      <w:r w:rsidRPr="002B57A0">
        <w:rPr>
          <w:noProof/>
          <w:sz w:val="18"/>
          <w:szCs w:val="18"/>
        </w:rPr>
        <w:tab/>
        <w:t xml:space="preserve">N. Adamashvili, G. Ganci, F. Colantuono, G. P. Agnusdei, and A. Galati, “How digital solutions are transforming food traceability: a systematic literature review of managerial perspectives, advantages and challenges,” </w:t>
      </w:r>
      <w:r w:rsidRPr="002B57A0">
        <w:rPr>
          <w:i/>
          <w:iCs/>
          <w:noProof/>
          <w:sz w:val="18"/>
          <w:szCs w:val="18"/>
        </w:rPr>
        <w:t>Br. Food J.</w:t>
      </w:r>
      <w:r w:rsidRPr="002B57A0">
        <w:rPr>
          <w:noProof/>
          <w:sz w:val="18"/>
          <w:szCs w:val="18"/>
        </w:rPr>
        <w:t>, vol. 128, no. 6, pp. 2187–2213, Dec. 2025, doi: 10.1108/BFJ-08-2025-1013.</w:t>
      </w:r>
    </w:p>
    <w:p w14:paraId="335AA1FC"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[2]</w:t>
      </w:r>
      <w:r w:rsidRPr="002B57A0">
        <w:rPr>
          <w:noProof/>
          <w:sz w:val="18"/>
          <w:szCs w:val="18"/>
        </w:rPr>
        <w:tab/>
        <w:t xml:space="preserve">M. Braggio, T. Y. Melesse, S. Arena, P. F. Orrù, and F. Briatore, “Sensor technologies in the food industry under industry 4.0: A systematic review,” </w:t>
      </w:r>
      <w:r w:rsidRPr="002B57A0">
        <w:rPr>
          <w:i/>
          <w:iCs/>
          <w:noProof/>
          <w:sz w:val="18"/>
          <w:szCs w:val="18"/>
        </w:rPr>
        <w:t>Food Control</w:t>
      </w:r>
      <w:r w:rsidRPr="002B57A0">
        <w:rPr>
          <w:noProof/>
          <w:sz w:val="18"/>
          <w:szCs w:val="18"/>
        </w:rPr>
        <w:t>, vol. 187, no. January, p. 112183, 2026, doi: 10.1016/j.foodcont.2026.112183.</w:t>
      </w:r>
    </w:p>
    <w:p w14:paraId="37051883"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[3]</w:t>
      </w:r>
      <w:r w:rsidRPr="002B57A0">
        <w:rPr>
          <w:noProof/>
          <w:sz w:val="18"/>
          <w:szCs w:val="18"/>
        </w:rPr>
        <w:tab/>
        <w:t xml:space="preserve">A. Panghal, N. Chhikara, N. Sindhu, and S. Jaglan, “Role of Food Safety Management Systems in safe food production: A review,” </w:t>
      </w:r>
      <w:r w:rsidRPr="002B57A0">
        <w:rPr>
          <w:i/>
          <w:iCs/>
          <w:noProof/>
          <w:sz w:val="18"/>
          <w:szCs w:val="18"/>
        </w:rPr>
        <w:t>J. Food Saf.</w:t>
      </w:r>
      <w:r w:rsidRPr="002B57A0">
        <w:rPr>
          <w:noProof/>
          <w:sz w:val="18"/>
          <w:szCs w:val="18"/>
        </w:rPr>
        <w:t>, vol. 38, no. 4, p. e12464, Aug. 2018, doi: https://doi.org/10.1111/jfs.12464.</w:t>
      </w:r>
    </w:p>
    <w:p w14:paraId="598A3CDE"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[4]</w:t>
      </w:r>
      <w:r w:rsidRPr="002B57A0">
        <w:rPr>
          <w:noProof/>
          <w:sz w:val="18"/>
          <w:szCs w:val="18"/>
        </w:rPr>
        <w:tab/>
        <w:t xml:space="preserve">T. T. B. Nguyen and D. Li, “A systematic literature review of food safety management system implementation in global supply chains,” </w:t>
      </w:r>
      <w:r w:rsidRPr="002B57A0">
        <w:rPr>
          <w:i/>
          <w:iCs/>
          <w:noProof/>
          <w:sz w:val="18"/>
          <w:szCs w:val="18"/>
        </w:rPr>
        <w:t>Br. Food J.</w:t>
      </w:r>
      <w:r w:rsidRPr="002B57A0">
        <w:rPr>
          <w:noProof/>
          <w:sz w:val="18"/>
          <w:szCs w:val="18"/>
        </w:rPr>
        <w:t>, vol. 124, no. 10, pp. 3014–3031, 2021, doi: https://doi.org/10.1108/BFJ-05-2021-0476.</w:t>
      </w:r>
    </w:p>
    <w:p w14:paraId="274E0457"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[5]</w:t>
      </w:r>
      <w:r w:rsidRPr="002B57A0">
        <w:rPr>
          <w:noProof/>
          <w:sz w:val="18"/>
          <w:szCs w:val="18"/>
        </w:rPr>
        <w:tab/>
        <w:t xml:space="preserve">A. Siddique, A. Gupta, J. T. Sawyer, T.-S. Huang, </w:t>
      </w:r>
      <w:r w:rsidRPr="002B57A0">
        <w:rPr>
          <w:noProof/>
          <w:sz w:val="18"/>
          <w:szCs w:val="18"/>
        </w:rPr>
        <w:lastRenderedPageBreak/>
        <w:t xml:space="preserve">and A. Morey, “Big data analytics in food industry: a state-of-the-art literature review,” </w:t>
      </w:r>
      <w:r w:rsidRPr="002B57A0">
        <w:rPr>
          <w:i/>
          <w:iCs/>
          <w:noProof/>
          <w:sz w:val="18"/>
          <w:szCs w:val="18"/>
        </w:rPr>
        <w:t>npj Sci. Food</w:t>
      </w:r>
      <w:r w:rsidRPr="002B57A0">
        <w:rPr>
          <w:noProof/>
          <w:sz w:val="18"/>
          <w:szCs w:val="18"/>
        </w:rPr>
        <w:t>, vol. 9, no. 1, p. 36, 2025, doi: 10.1038/s41538-025-00394-y.</w:t>
      </w:r>
    </w:p>
    <w:p w14:paraId="77094276"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[6]</w:t>
      </w:r>
      <w:r w:rsidRPr="002B57A0">
        <w:rPr>
          <w:noProof/>
          <w:sz w:val="18"/>
          <w:szCs w:val="18"/>
        </w:rPr>
        <w:tab/>
      </w:r>
      <w:r w:rsidRPr="002B57A0">
        <w:rPr>
          <w:i/>
          <w:iCs/>
          <w:noProof/>
          <w:sz w:val="18"/>
          <w:szCs w:val="18"/>
        </w:rPr>
        <w:t>Promoting the digitalization of small and medium-sized agrifood enterprises in Asia and the Pacific</w:t>
      </w:r>
      <w:r w:rsidRPr="002B57A0">
        <w:rPr>
          <w:noProof/>
          <w:sz w:val="18"/>
          <w:szCs w:val="18"/>
        </w:rPr>
        <w:t>. 2023. doi: 10.4060/cc8826en.</w:t>
      </w:r>
    </w:p>
    <w:p w14:paraId="3947A64C"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[7]</w:t>
      </w:r>
      <w:r w:rsidRPr="002B57A0">
        <w:rPr>
          <w:noProof/>
          <w:sz w:val="18"/>
          <w:szCs w:val="18"/>
        </w:rPr>
        <w:tab/>
        <w:t xml:space="preserve">M. del M. Benavides-Espinosa, D. Ribeiro-Soriano, and C. Gieure, “How can agrifood businesses improve their performance? The role of digital transformation,” </w:t>
      </w:r>
      <w:r w:rsidRPr="002B57A0">
        <w:rPr>
          <w:i/>
          <w:iCs/>
          <w:noProof/>
          <w:sz w:val="18"/>
          <w:szCs w:val="18"/>
        </w:rPr>
        <w:t>Br. Food J.</w:t>
      </w:r>
      <w:r w:rsidRPr="002B57A0">
        <w:rPr>
          <w:noProof/>
          <w:sz w:val="18"/>
          <w:szCs w:val="18"/>
        </w:rPr>
        <w:t>, vol. 126, no. 4, pp. 1682–1697, 2024, doi: https://doi.org/10.1108/BFJ-06-2022-0541.</w:t>
      </w:r>
    </w:p>
    <w:p w14:paraId="0CC38E26"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[8]</w:t>
      </w:r>
      <w:r w:rsidRPr="002B57A0">
        <w:rPr>
          <w:noProof/>
          <w:sz w:val="18"/>
          <w:szCs w:val="18"/>
        </w:rPr>
        <w:tab/>
        <w:t xml:space="preserve">B. Bisht </w:t>
      </w:r>
      <w:r w:rsidRPr="002B57A0">
        <w:rPr>
          <w:i/>
          <w:iCs/>
          <w:noProof/>
          <w:sz w:val="18"/>
          <w:szCs w:val="18"/>
        </w:rPr>
        <w:t>et al.</w:t>
      </w:r>
      <w:r w:rsidRPr="002B57A0">
        <w:rPr>
          <w:noProof/>
          <w:sz w:val="18"/>
          <w:szCs w:val="18"/>
        </w:rPr>
        <w:t xml:space="preserve">, “Industry 4.0 digital transformation: Shaping the future of food quality,” </w:t>
      </w:r>
      <w:r w:rsidRPr="002B57A0">
        <w:rPr>
          <w:i/>
          <w:iCs/>
          <w:noProof/>
          <w:sz w:val="18"/>
          <w:szCs w:val="18"/>
        </w:rPr>
        <w:t>Food Control</w:t>
      </w:r>
      <w:r w:rsidRPr="002B57A0">
        <w:rPr>
          <w:noProof/>
          <w:sz w:val="18"/>
          <w:szCs w:val="18"/>
        </w:rPr>
        <w:t>, vol. 170, p. 111030, 2025, doi: https://doi.org/10.1016/j.foodcont.2024.111030.</w:t>
      </w:r>
    </w:p>
    <w:p w14:paraId="453107CB"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[9]</w:t>
      </w:r>
      <w:r w:rsidRPr="002B57A0">
        <w:rPr>
          <w:noProof/>
          <w:sz w:val="18"/>
          <w:szCs w:val="18"/>
        </w:rPr>
        <w:tab/>
        <w:t xml:space="preserve">M. Gottschald, “Advancing food safety through digital traceability, interoperability, harmonized data and collaborative partnerships,” </w:t>
      </w:r>
      <w:r w:rsidRPr="002B57A0">
        <w:rPr>
          <w:i/>
          <w:iCs/>
          <w:noProof/>
          <w:sz w:val="18"/>
          <w:szCs w:val="18"/>
        </w:rPr>
        <w:t>J. Consum. Prot. Food Saf.</w:t>
      </w:r>
      <w:r w:rsidRPr="002B57A0">
        <w:rPr>
          <w:noProof/>
          <w:sz w:val="18"/>
          <w:szCs w:val="18"/>
        </w:rPr>
        <w:t>, vol. 19, no. 3, pp. 257–258, 2024, doi: 10.1007/s00003-024-01522-8.</w:t>
      </w:r>
    </w:p>
    <w:p w14:paraId="0504D53C"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[10]</w:t>
      </w:r>
      <w:r w:rsidRPr="002B57A0">
        <w:rPr>
          <w:noProof/>
          <w:sz w:val="18"/>
          <w:szCs w:val="18"/>
        </w:rPr>
        <w:tab/>
        <w:t xml:space="preserve">Q. Yu, M. Zhang, and A. S. Mujumdar, “Blockchain-based fresh food quality traceability and dynamic monitoring: Research progress and application perspectives,” </w:t>
      </w:r>
      <w:r w:rsidRPr="002B57A0">
        <w:rPr>
          <w:i/>
          <w:iCs/>
          <w:noProof/>
          <w:sz w:val="18"/>
          <w:szCs w:val="18"/>
        </w:rPr>
        <w:t>Comput. Electron. Agric.</w:t>
      </w:r>
      <w:r w:rsidRPr="002B57A0">
        <w:rPr>
          <w:noProof/>
          <w:sz w:val="18"/>
          <w:szCs w:val="18"/>
        </w:rPr>
        <w:t>, vol. 224, p. 109191, 2024, doi: https://doi.org/10.1016/j.compag.2024.109191.</w:t>
      </w:r>
    </w:p>
    <w:p w14:paraId="25751426"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[11]</w:t>
      </w:r>
      <w:r w:rsidRPr="002B57A0">
        <w:rPr>
          <w:noProof/>
          <w:sz w:val="18"/>
          <w:szCs w:val="18"/>
        </w:rPr>
        <w:tab/>
        <w:t xml:space="preserve">M. S. Hadi, B. S. R. Sugiono, M. A. Mizar, A. Witjoro, and M. Irvan, “Enhancing low-temperature long-time milk pasteurization process with a C4.5 algorithm-driven AIoT system for real-time decision-making,” </w:t>
      </w:r>
      <w:r w:rsidRPr="002B57A0">
        <w:rPr>
          <w:i/>
          <w:iCs/>
          <w:noProof/>
          <w:sz w:val="18"/>
          <w:szCs w:val="18"/>
        </w:rPr>
        <w:t>J. Food Process Eng.</w:t>
      </w:r>
      <w:r w:rsidRPr="002B57A0">
        <w:rPr>
          <w:noProof/>
          <w:sz w:val="18"/>
          <w:szCs w:val="18"/>
        </w:rPr>
        <w:t>, vol. 47, no. 4, p. e14606, 2024, doi: https://doi.org/10.1111/jfpe.14606.</w:t>
      </w:r>
    </w:p>
    <w:p w14:paraId="1792B5DF"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[12]</w:t>
      </w:r>
      <w:r w:rsidRPr="002B57A0">
        <w:rPr>
          <w:noProof/>
          <w:sz w:val="18"/>
          <w:szCs w:val="18"/>
        </w:rPr>
        <w:tab/>
        <w:t xml:space="preserve">A. Hassoun, I. Dankar, Z. Bhat, and Y. Bouzembrak, “Unveiling the relationship between food unit operations and food industry 4.0: A  short review.,” </w:t>
      </w:r>
      <w:r w:rsidRPr="002B57A0">
        <w:rPr>
          <w:i/>
          <w:iCs/>
          <w:noProof/>
          <w:sz w:val="18"/>
          <w:szCs w:val="18"/>
        </w:rPr>
        <w:t>Heliyon</w:t>
      </w:r>
      <w:r w:rsidRPr="002B57A0">
        <w:rPr>
          <w:noProof/>
          <w:sz w:val="18"/>
          <w:szCs w:val="18"/>
        </w:rPr>
        <w:t>, vol. 10, no. 20, p. e39388, Oct. 2024, doi: 10.1016/j.heliyon.2024.e39388.</w:t>
      </w:r>
    </w:p>
    <w:p w14:paraId="7257EB19"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[13]</w:t>
      </w:r>
      <w:r w:rsidRPr="002B57A0">
        <w:rPr>
          <w:noProof/>
          <w:sz w:val="18"/>
          <w:szCs w:val="18"/>
        </w:rPr>
        <w:tab/>
        <w:t xml:space="preserve">E. Beducci, F. Acerbi, T. Y. Melesse, A. De Carolis, and P. F. Orrù, “Assessing industry 4.0 readiness and maturity in the dairy sector: a case study in Sardinia,” </w:t>
      </w:r>
      <w:r w:rsidRPr="002B57A0">
        <w:rPr>
          <w:i/>
          <w:iCs/>
          <w:noProof/>
          <w:sz w:val="18"/>
          <w:szCs w:val="18"/>
        </w:rPr>
        <w:t>Oper. Manag. Res.</w:t>
      </w:r>
      <w:r w:rsidRPr="002B57A0">
        <w:rPr>
          <w:noProof/>
          <w:sz w:val="18"/>
          <w:szCs w:val="18"/>
        </w:rPr>
        <w:t>, vol. 19, no. 1, p. 16, 2026, doi: 10.1007/s12063-026-00583-2.</w:t>
      </w:r>
    </w:p>
    <w:p w14:paraId="31E31C0A"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[14]</w:t>
      </w:r>
      <w:r w:rsidRPr="002B57A0">
        <w:rPr>
          <w:noProof/>
          <w:sz w:val="18"/>
          <w:szCs w:val="18"/>
        </w:rPr>
        <w:tab/>
        <w:t xml:space="preserve">S. Elkady, J. Hernantes, and L. Labaka, “Decision-making for community resilience: A review of decision support systems and their applications,” </w:t>
      </w:r>
      <w:r w:rsidRPr="002B57A0">
        <w:rPr>
          <w:i/>
          <w:iCs/>
          <w:noProof/>
          <w:sz w:val="18"/>
          <w:szCs w:val="18"/>
        </w:rPr>
        <w:t>Heliyon</w:t>
      </w:r>
      <w:r w:rsidRPr="002B57A0">
        <w:rPr>
          <w:noProof/>
          <w:sz w:val="18"/>
          <w:szCs w:val="18"/>
        </w:rPr>
        <w:t>, vol. 10, no. 12, p. e33116, 2024, doi: https://doi.org/10.1016/j.heliyon.2024.e33116.</w:t>
      </w:r>
    </w:p>
    <w:p w14:paraId="70B76C25"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[15]</w:t>
      </w:r>
      <w:r w:rsidRPr="002B57A0">
        <w:rPr>
          <w:noProof/>
          <w:sz w:val="18"/>
          <w:szCs w:val="18"/>
        </w:rPr>
        <w:tab/>
        <w:t xml:space="preserve">S. Kurpiela and F. Teuteberg, “Linking business analytics affordances to corporate strategic planning and decision making outcomes,” </w:t>
      </w:r>
      <w:r w:rsidRPr="002B57A0">
        <w:rPr>
          <w:i/>
          <w:iCs/>
          <w:noProof/>
          <w:sz w:val="18"/>
          <w:szCs w:val="18"/>
        </w:rPr>
        <w:t>Inf. Syst. E-bus. Manag.</w:t>
      </w:r>
      <w:r w:rsidRPr="002B57A0">
        <w:rPr>
          <w:noProof/>
          <w:sz w:val="18"/>
          <w:szCs w:val="18"/>
        </w:rPr>
        <w:t>, vol. 22, no. 1, pp. 33–60, 2024, doi: 10.1007/s10257-023-00661-z.</w:t>
      </w:r>
    </w:p>
    <w:p w14:paraId="47BCB057"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[16]</w:t>
      </w:r>
      <w:r w:rsidRPr="002B57A0">
        <w:rPr>
          <w:noProof/>
          <w:sz w:val="18"/>
          <w:szCs w:val="18"/>
        </w:rPr>
        <w:tab/>
        <w:t xml:space="preserve">B. C. Cheong, “Transparency and accountability in AI systems: safeguarding wellbeing in the age of algorithmic decision-making,” </w:t>
      </w:r>
      <w:r w:rsidRPr="002B57A0">
        <w:rPr>
          <w:i/>
          <w:iCs/>
          <w:noProof/>
          <w:sz w:val="18"/>
          <w:szCs w:val="18"/>
        </w:rPr>
        <w:t>Front. Hum. Dyn.</w:t>
      </w:r>
      <w:r w:rsidRPr="002B57A0">
        <w:rPr>
          <w:noProof/>
          <w:sz w:val="18"/>
          <w:szCs w:val="18"/>
        </w:rPr>
        <w:t xml:space="preserve">, vol. Volume 6-2024, </w:t>
      </w:r>
      <w:r w:rsidRPr="002B57A0">
        <w:rPr>
          <w:noProof/>
          <w:sz w:val="18"/>
          <w:szCs w:val="18"/>
        </w:rPr>
        <w:t>2024, [Online]. Available: https://www.frontiersin.org/journals/human-dynamics/articles/10.3389/fhumd.2024.1421273</w:t>
      </w:r>
    </w:p>
    <w:p w14:paraId="2CC5DED6"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[17]</w:t>
      </w:r>
      <w:r w:rsidRPr="002B57A0">
        <w:rPr>
          <w:noProof/>
          <w:sz w:val="18"/>
          <w:szCs w:val="18"/>
        </w:rPr>
        <w:tab/>
        <w:t xml:space="preserve">W. Saeed and C. Omlin, “Explainable AI (XAI): A systematic meta-survey of current challenges and future opportunities,” </w:t>
      </w:r>
      <w:r w:rsidRPr="002B57A0">
        <w:rPr>
          <w:i/>
          <w:iCs/>
          <w:noProof/>
          <w:sz w:val="18"/>
          <w:szCs w:val="18"/>
        </w:rPr>
        <w:t>Knowledge-Based Syst.</w:t>
      </w:r>
      <w:r w:rsidRPr="002B57A0">
        <w:rPr>
          <w:noProof/>
          <w:sz w:val="18"/>
          <w:szCs w:val="18"/>
        </w:rPr>
        <w:t>, vol. 263, p. 110273, 2023, doi: https://doi.org/10.1016/j.knosys.2023.110273.</w:t>
      </w:r>
    </w:p>
    <w:p w14:paraId="3E027A6E"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[18]</w:t>
      </w:r>
      <w:r w:rsidRPr="002B57A0">
        <w:rPr>
          <w:noProof/>
          <w:sz w:val="18"/>
          <w:szCs w:val="18"/>
        </w:rPr>
        <w:tab/>
        <w:t xml:space="preserve">M. Colacci </w:t>
      </w:r>
      <w:r w:rsidRPr="002B57A0">
        <w:rPr>
          <w:i/>
          <w:iCs/>
          <w:noProof/>
          <w:sz w:val="18"/>
          <w:szCs w:val="18"/>
        </w:rPr>
        <w:t>et al.</w:t>
      </w:r>
      <w:r w:rsidRPr="002B57A0">
        <w:rPr>
          <w:noProof/>
          <w:sz w:val="18"/>
          <w:szCs w:val="18"/>
        </w:rPr>
        <w:t xml:space="preserve">, “Sociodemographic bias in clinical machine learning models: a scoping review of algorithmic bias instances and mechanisms,” </w:t>
      </w:r>
      <w:r w:rsidRPr="002B57A0">
        <w:rPr>
          <w:i/>
          <w:iCs/>
          <w:noProof/>
          <w:sz w:val="18"/>
          <w:szCs w:val="18"/>
        </w:rPr>
        <w:t>J. Clin. Epidemiol.</w:t>
      </w:r>
      <w:r w:rsidRPr="002B57A0">
        <w:rPr>
          <w:noProof/>
          <w:sz w:val="18"/>
          <w:szCs w:val="18"/>
        </w:rPr>
        <w:t>, vol. 178, Feb. 2025, doi: 10.1016/j.jclinepi.2024.111606.</w:t>
      </w:r>
    </w:p>
    <w:p w14:paraId="001F9AC4"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[19]</w:t>
      </w:r>
      <w:r w:rsidRPr="002B57A0">
        <w:rPr>
          <w:noProof/>
          <w:sz w:val="18"/>
          <w:szCs w:val="18"/>
        </w:rPr>
        <w:tab/>
        <w:t xml:space="preserve">Z. Ersozlu, S. Taheri, and I. Koch, “A review of machine learning methods used for educational data,” </w:t>
      </w:r>
      <w:r w:rsidRPr="002B57A0">
        <w:rPr>
          <w:i/>
          <w:iCs/>
          <w:noProof/>
          <w:sz w:val="18"/>
          <w:szCs w:val="18"/>
        </w:rPr>
        <w:t>Educ. Inf. Technol.</w:t>
      </w:r>
      <w:r w:rsidRPr="002B57A0">
        <w:rPr>
          <w:noProof/>
          <w:sz w:val="18"/>
          <w:szCs w:val="18"/>
        </w:rPr>
        <w:t>, vol. 29, no. 16, pp. 22125–22145, 2024, doi: 10.1007/s10639-024-12704-0.</w:t>
      </w:r>
    </w:p>
    <w:p w14:paraId="57810BA5"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[20]</w:t>
      </w:r>
      <w:r w:rsidRPr="002B57A0">
        <w:rPr>
          <w:noProof/>
          <w:sz w:val="18"/>
          <w:szCs w:val="18"/>
        </w:rPr>
        <w:tab/>
        <w:t xml:space="preserve">H. Blockeel, L. Devos, B. Frénay, G. Nanfack, and S. Nijssen, “Decision trees: from efficient prediction to responsible AI,” </w:t>
      </w:r>
      <w:r w:rsidRPr="002B57A0">
        <w:rPr>
          <w:i/>
          <w:iCs/>
          <w:noProof/>
          <w:sz w:val="18"/>
          <w:szCs w:val="18"/>
        </w:rPr>
        <w:t>Front. Artif. Intell.</w:t>
      </w:r>
      <w:r w:rsidRPr="002B57A0">
        <w:rPr>
          <w:noProof/>
          <w:sz w:val="18"/>
          <w:szCs w:val="18"/>
        </w:rPr>
        <w:t>, vol. Volume 6-2023, 2023, [Online]. Available: https://www.frontiersin.org/journals/artificial-intelligence/articles/10.3389/frai.2023.1124553</w:t>
      </w:r>
    </w:p>
    <w:p w14:paraId="0CA8ACDC"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[21]</w:t>
      </w:r>
      <w:r w:rsidRPr="002B57A0">
        <w:rPr>
          <w:noProof/>
          <w:sz w:val="18"/>
          <w:szCs w:val="18"/>
        </w:rPr>
        <w:tab/>
        <w:t xml:space="preserve">S. Puttero, E. Verna, G. Genta, and M. Galetto, “Improved quality control and sustainability in food production by machine learning,” </w:t>
      </w:r>
      <w:r w:rsidRPr="002B57A0">
        <w:rPr>
          <w:i/>
          <w:iCs/>
          <w:noProof/>
          <w:sz w:val="18"/>
          <w:szCs w:val="18"/>
        </w:rPr>
        <w:t>Procedia CIRP</w:t>
      </w:r>
      <w:r w:rsidRPr="002B57A0">
        <w:rPr>
          <w:noProof/>
          <w:sz w:val="18"/>
          <w:szCs w:val="18"/>
        </w:rPr>
        <w:t>, vol. 122, pp. 533–538, 2024, doi: https://doi.org/10.1016/j.procir.2024.01.078.</w:t>
      </w:r>
    </w:p>
    <w:p w14:paraId="3DFC35B6"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[22]</w:t>
      </w:r>
      <w:r w:rsidRPr="002B57A0">
        <w:rPr>
          <w:noProof/>
          <w:sz w:val="18"/>
          <w:szCs w:val="18"/>
        </w:rPr>
        <w:tab/>
        <w:t xml:space="preserve">A. de Araújo Gomes, S. M. Azcarate, I. Špánik, L. Khvalbota, and H. C. Goicoechea, “Pattern recognition techniques in food quality and authenticity: A guide on how to process multivariate data in food analysis,” </w:t>
      </w:r>
      <w:r w:rsidRPr="002B57A0">
        <w:rPr>
          <w:i/>
          <w:iCs/>
          <w:noProof/>
          <w:sz w:val="18"/>
          <w:szCs w:val="18"/>
        </w:rPr>
        <w:t>TrAC Trends Anal. Chem.</w:t>
      </w:r>
      <w:r w:rsidRPr="002B57A0">
        <w:rPr>
          <w:noProof/>
          <w:sz w:val="18"/>
          <w:szCs w:val="18"/>
        </w:rPr>
        <w:t>, vol. 164, p. 117105, 2023, doi: https://doi.org/10.1016/j.trac.2023.117105.</w:t>
      </w:r>
    </w:p>
    <w:p w14:paraId="0FA54D07"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[23]</w:t>
      </w:r>
      <w:r w:rsidRPr="002B57A0">
        <w:rPr>
          <w:noProof/>
          <w:sz w:val="18"/>
          <w:szCs w:val="18"/>
        </w:rPr>
        <w:tab/>
        <w:t xml:space="preserve">A. S. Semercioz-Oduncuoglu and P. A. Luning, “Industry 4.0 technologies in quality and safety control systems in food manufacturing: A systematic techno-managerial analysis on benefits and barriers,” </w:t>
      </w:r>
      <w:r w:rsidRPr="002B57A0">
        <w:rPr>
          <w:i/>
          <w:iCs/>
          <w:noProof/>
          <w:sz w:val="18"/>
          <w:szCs w:val="18"/>
        </w:rPr>
        <w:t>Trends Food Sci. Technol.</w:t>
      </w:r>
      <w:r w:rsidRPr="002B57A0">
        <w:rPr>
          <w:noProof/>
          <w:sz w:val="18"/>
          <w:szCs w:val="18"/>
        </w:rPr>
        <w:t>, vol. 163, p. 105144, 2025, doi: https://doi.org/10.1016/j.tifs.2025.105144.</w:t>
      </w:r>
    </w:p>
    <w:p w14:paraId="5388CB13"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[24]</w:t>
      </w:r>
      <w:r w:rsidRPr="002B57A0">
        <w:rPr>
          <w:noProof/>
          <w:sz w:val="18"/>
          <w:szCs w:val="18"/>
        </w:rPr>
        <w:tab/>
        <w:t xml:space="preserve">M. V. Ciasullo, M. Ferrara, and W. M. Lim, “Dynamic capabilities and data-driven culture for digital transformation: evidence from agri-food SMEs,” </w:t>
      </w:r>
      <w:r w:rsidRPr="002B57A0">
        <w:rPr>
          <w:i/>
          <w:iCs/>
          <w:noProof/>
          <w:sz w:val="18"/>
          <w:szCs w:val="18"/>
        </w:rPr>
        <w:t>Br. Food J.</w:t>
      </w:r>
      <w:r w:rsidRPr="002B57A0">
        <w:rPr>
          <w:noProof/>
          <w:sz w:val="18"/>
          <w:szCs w:val="18"/>
        </w:rPr>
        <w:t>, vol. 128, no. 8, pp. 3377–3393, 2026, doi: https://doi.org/10.1108/BFJ-02-2025-0119.</w:t>
      </w:r>
    </w:p>
    <w:p w14:paraId="41E38752"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[25]</w:t>
      </w:r>
      <w:r w:rsidRPr="002B57A0">
        <w:rPr>
          <w:noProof/>
          <w:sz w:val="18"/>
          <w:szCs w:val="18"/>
        </w:rPr>
        <w:tab/>
        <w:t xml:space="preserve">Á. Szukits and P. Móricz, “Towards data-driven decision making: the role of analytical culture and centralization efforts,” </w:t>
      </w:r>
      <w:r w:rsidRPr="002B57A0">
        <w:rPr>
          <w:i/>
          <w:iCs/>
          <w:noProof/>
          <w:sz w:val="18"/>
          <w:szCs w:val="18"/>
        </w:rPr>
        <w:t>Rev. Manag. Sci.</w:t>
      </w:r>
      <w:r w:rsidRPr="002B57A0">
        <w:rPr>
          <w:noProof/>
          <w:sz w:val="18"/>
          <w:szCs w:val="18"/>
        </w:rPr>
        <w:t>, vol. 18, no. 10, pp. 2849–2887, 2024, doi: 10.1007/s11846-023-00694-1.</w:t>
      </w:r>
    </w:p>
    <w:p w14:paraId="50CB3273" w14:textId="77777777" w:rsidR="006F2EE0" w:rsidRPr="002B57A0" w:rsidRDefault="006F2EE0" w:rsidP="006F2EE0">
      <w:pPr>
        <w:widowControl w:val="0"/>
        <w:autoSpaceDE w:val="0"/>
        <w:autoSpaceDN w:val="0"/>
        <w:adjustRightInd w:val="0"/>
        <w:spacing w:line="240" w:lineRule="atLeast"/>
        <w:ind w:left="0" w:hanging="2"/>
        <w:jc w:val="both"/>
        <w:rPr>
          <w:noProof/>
          <w:sz w:val="18"/>
          <w:szCs w:val="18"/>
        </w:rPr>
      </w:pPr>
      <w:r w:rsidRPr="002B57A0">
        <w:rPr>
          <w:noProof/>
          <w:sz w:val="18"/>
          <w:szCs w:val="18"/>
        </w:rPr>
        <w:t>[26]</w:t>
      </w:r>
      <w:r w:rsidRPr="002B57A0">
        <w:rPr>
          <w:noProof/>
          <w:sz w:val="18"/>
          <w:szCs w:val="18"/>
        </w:rPr>
        <w:tab/>
        <w:t xml:space="preserve">C. Jin </w:t>
      </w:r>
      <w:r w:rsidRPr="002B57A0">
        <w:rPr>
          <w:i/>
          <w:iCs/>
          <w:noProof/>
          <w:sz w:val="18"/>
          <w:szCs w:val="18"/>
        </w:rPr>
        <w:t>et al.</w:t>
      </w:r>
      <w:r w:rsidRPr="002B57A0">
        <w:rPr>
          <w:noProof/>
          <w:sz w:val="18"/>
          <w:szCs w:val="18"/>
        </w:rPr>
        <w:t xml:space="preserve">, “Human-model interaction-based decision support system for optimizing food safety assessment,” </w:t>
      </w:r>
      <w:r w:rsidRPr="002B57A0">
        <w:rPr>
          <w:i/>
          <w:iCs/>
          <w:noProof/>
          <w:sz w:val="18"/>
          <w:szCs w:val="18"/>
        </w:rPr>
        <w:t>Food Res. Int.</w:t>
      </w:r>
      <w:r w:rsidRPr="002B57A0">
        <w:rPr>
          <w:noProof/>
          <w:sz w:val="18"/>
          <w:szCs w:val="18"/>
        </w:rPr>
        <w:t>, vol. 208, p. 116156, 2025, doi: https://doi.org/10.1016/j.foodres.2025.116156.</w:t>
      </w:r>
    </w:p>
    <w:p w14:paraId="2F029E4A" w14:textId="4979E716" w:rsidR="006F2EE0" w:rsidRPr="002B57A0" w:rsidRDefault="006F2EE0" w:rsidP="006F2EE0">
      <w:pPr>
        <w:tabs>
          <w:tab w:val="left" w:pos="360"/>
        </w:tabs>
        <w:ind w:left="0" w:hanging="2"/>
        <w:jc w:val="both"/>
        <w:rPr>
          <w:sz w:val="18"/>
          <w:szCs w:val="18"/>
        </w:rPr>
        <w:sectPr w:rsidR="006F2EE0" w:rsidRPr="002B57A0">
          <w:type w:val="continuous"/>
          <w:pgSz w:w="11909" w:h="16834"/>
          <w:pgMar w:top="1418" w:right="1134" w:bottom="1418" w:left="1134" w:header="720" w:footer="720" w:gutter="0"/>
          <w:cols w:num="2" w:space="720" w:equalWidth="0">
            <w:col w:w="4460" w:space="720"/>
            <w:col w:w="4460" w:space="0"/>
          </w:cols>
        </w:sectPr>
      </w:pPr>
      <w:r w:rsidRPr="002B57A0">
        <w:rPr>
          <w:sz w:val="18"/>
          <w:szCs w:val="18"/>
        </w:rPr>
        <w:fldChar w:fldCharType="end"/>
      </w:r>
    </w:p>
    <w:p w14:paraId="35A85D00" w14:textId="77777777" w:rsidR="00AB6772" w:rsidRPr="002B57A0" w:rsidRDefault="00AB6772" w:rsidP="006F2EE0">
      <w:pPr>
        <w:ind w:leftChars="0" w:left="0" w:firstLineChars="0" w:firstLine="0"/>
        <w:jc w:val="both"/>
        <w:rPr>
          <w:sz w:val="18"/>
          <w:szCs w:val="18"/>
        </w:rPr>
      </w:pPr>
    </w:p>
    <w:sectPr w:rsidR="00AB6772" w:rsidRPr="002B57A0">
      <w:type w:val="continuous"/>
      <w:pgSz w:w="11909" w:h="16834"/>
      <w:pgMar w:top="1418" w:right="1134" w:bottom="1418"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25CCCF2C-5D1E-4BB6-9EF4-E72A41299693}"/>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2" w:fontKey="{BC4C14D7-4E0C-4240-BBFF-5A149EA6D3FF}"/>
    <w:embedItalic r:id="rId3" w:fontKey="{99B60462-C0A7-404B-9AAD-1198BD8F882B}"/>
  </w:font>
  <w:font w:name="Tahoma">
    <w:panose1 w:val="020B0604030504040204"/>
    <w:charset w:val="00"/>
    <w:family w:val="swiss"/>
    <w:pitch w:val="variable"/>
    <w:sig w:usb0="E1002EFF" w:usb1="C000605B" w:usb2="00000029" w:usb3="00000000" w:csb0="000101FF" w:csb1="00000000"/>
    <w:embedRegular r:id="rId4" w:fontKey="{D993B5DC-56AB-4E60-B7C0-4A31264744E2}"/>
    <w:embedBold r:id="rId5" w:fontKey="{75721DD9-255C-402D-9154-07F75A67CE79}"/>
    <w:embedItalic r:id="rId6" w:fontKey="{DF409592-5628-49DC-B0A9-8CE3B6CE9BD0}"/>
  </w:font>
  <w:font w:name="Calibri">
    <w:panose1 w:val="020F0502020204030204"/>
    <w:charset w:val="00"/>
    <w:family w:val="swiss"/>
    <w:pitch w:val="variable"/>
    <w:sig w:usb0="E4002EFF" w:usb1="C200247B" w:usb2="00000009" w:usb3="00000000" w:csb0="000001FF" w:csb1="00000000"/>
    <w:embedRegular r:id="rId7" w:fontKey="{FAC1DED7-DE1A-4194-A84B-263AFD6F6185}"/>
  </w:font>
  <w:font w:name="Cambria">
    <w:panose1 w:val="02040503050406030204"/>
    <w:charset w:val="00"/>
    <w:family w:val="roman"/>
    <w:pitch w:val="variable"/>
    <w:sig w:usb0="E00006FF" w:usb1="420024FF" w:usb2="02000000" w:usb3="00000000" w:csb0="0000019F" w:csb1="00000000"/>
    <w:embedRegular r:id="rId8" w:fontKey="{5BE4F925-E195-46F9-8B24-4DB08BF2A3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82B98"/>
    <w:multiLevelType w:val="multilevel"/>
    <w:tmpl w:val="629EDFDE"/>
    <w:lvl w:ilvl="0">
      <w:start w:val="1"/>
      <w:numFmt w:val="upperRoman"/>
      <w:pStyle w:val="Heading1"/>
      <w:lvlText w:val="%1."/>
      <w:lvlJc w:val="center"/>
      <w:pPr>
        <w:ind w:left="0" w:firstLine="216"/>
      </w:pPr>
      <w:rPr>
        <w:rFonts w:ascii="Times New Roman" w:eastAsia="Times New Roman" w:hAnsi="Times New Roman" w:cs="Times New Roman"/>
        <w:b/>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i w:val="0"/>
        <w:smallCaps w:val="0"/>
        <w:strike w:val="0"/>
        <w:color w:val="000000"/>
        <w:sz w:val="22"/>
        <w:szCs w:val="22"/>
        <w:vertAlign w:val="baseline"/>
      </w:rPr>
    </w:lvl>
    <w:lvl w:ilvl="2">
      <w:start w:val="1"/>
      <w:numFmt w:val="decimal"/>
      <w:lvlText w:val="%3)"/>
      <w:lvlJc w:val="left"/>
      <w:pPr>
        <w:ind w:left="0" w:firstLine="180"/>
      </w:pPr>
      <w:rPr>
        <w:rFonts w:ascii="Times New Roman" w:eastAsia="Times New Roman" w:hAnsi="Times New Roman" w:cs="Times New Roman"/>
        <w:b w:val="0"/>
        <w:i w:val="0"/>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val="0"/>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1" w15:restartNumberingAfterBreak="0">
    <w:nsid w:val="156B56C7"/>
    <w:multiLevelType w:val="multilevel"/>
    <w:tmpl w:val="AFB64F52"/>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4403A9B"/>
    <w:multiLevelType w:val="multilevel"/>
    <w:tmpl w:val="203CFA86"/>
    <w:lvl w:ilvl="0">
      <w:start w:val="1"/>
      <w:numFmt w:val="upperRoman"/>
      <w:lvlText w:val="%1."/>
      <w:lvlJc w:val="center"/>
      <w:pPr>
        <w:ind w:left="0" w:firstLine="216"/>
      </w:pPr>
      <w:rPr>
        <w:rFonts w:ascii="Times New Roman" w:eastAsia="Times New Roman" w:hAnsi="Times New Roman" w:cs="Times New Roman"/>
        <w:b/>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i w:val="0"/>
        <w:smallCaps w:val="0"/>
        <w:strike w:val="0"/>
        <w:color w:val="000000"/>
        <w:sz w:val="22"/>
        <w:szCs w:val="22"/>
        <w:vertAlign w:val="baseline"/>
      </w:rPr>
    </w:lvl>
    <w:lvl w:ilvl="2">
      <w:start w:val="1"/>
      <w:numFmt w:val="decimal"/>
      <w:pStyle w:val="Heading3"/>
      <w:lvlText w:val="%3)"/>
      <w:lvlJc w:val="left"/>
      <w:pPr>
        <w:ind w:left="0" w:firstLine="180"/>
      </w:pPr>
      <w:rPr>
        <w:rFonts w:ascii="Times New Roman" w:eastAsia="Times New Roman" w:hAnsi="Times New Roman" w:cs="Times New Roman"/>
        <w:b w:val="0"/>
        <w:i w:val="0"/>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val="0"/>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3" w15:restartNumberingAfterBreak="0">
    <w:nsid w:val="3EA33F62"/>
    <w:multiLevelType w:val="multilevel"/>
    <w:tmpl w:val="AAF88E06"/>
    <w:lvl w:ilvl="0">
      <w:start w:val="1"/>
      <w:numFmt w:val="upperRoman"/>
      <w:lvlText w:val="%1."/>
      <w:lvlJc w:val="center"/>
      <w:pPr>
        <w:ind w:left="0" w:firstLine="216"/>
      </w:pPr>
      <w:rPr>
        <w:rFonts w:ascii="Times New Roman" w:eastAsia="Times New Roman" w:hAnsi="Times New Roman" w:cs="Times New Roman"/>
        <w:b/>
        <w:smallCaps w:val="0"/>
        <w:strike w:val="0"/>
        <w:color w:val="000000"/>
        <w:sz w:val="24"/>
        <w:szCs w:val="24"/>
        <w:vertAlign w:val="baseline"/>
      </w:rPr>
    </w:lvl>
    <w:lvl w:ilvl="1">
      <w:start w:val="1"/>
      <w:numFmt w:val="upperLetter"/>
      <w:pStyle w:val="Heading2"/>
      <w:lvlText w:val="%2."/>
      <w:lvlJc w:val="left"/>
      <w:pPr>
        <w:ind w:left="288" w:hanging="288"/>
      </w:pPr>
      <w:rPr>
        <w:rFonts w:ascii="Times New Roman" w:eastAsia="Times New Roman" w:hAnsi="Times New Roman" w:cs="Times New Roman"/>
        <w:b/>
        <w:i w:val="0"/>
        <w:smallCaps w:val="0"/>
        <w:strike w:val="0"/>
        <w:color w:val="000000"/>
        <w:sz w:val="22"/>
        <w:szCs w:val="22"/>
        <w:vertAlign w:val="baseline"/>
      </w:rPr>
    </w:lvl>
    <w:lvl w:ilvl="2">
      <w:start w:val="1"/>
      <w:numFmt w:val="decimal"/>
      <w:lvlText w:val="%3)"/>
      <w:lvlJc w:val="left"/>
      <w:pPr>
        <w:ind w:left="0" w:firstLine="180"/>
      </w:pPr>
      <w:rPr>
        <w:rFonts w:ascii="Times New Roman" w:eastAsia="Times New Roman" w:hAnsi="Times New Roman" w:cs="Times New Roman"/>
        <w:b w:val="0"/>
        <w:i w:val="0"/>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val="0"/>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4" w15:restartNumberingAfterBreak="0">
    <w:nsid w:val="3FC1032F"/>
    <w:multiLevelType w:val="multilevel"/>
    <w:tmpl w:val="8D3A7B26"/>
    <w:lvl w:ilvl="0">
      <w:start w:val="1"/>
      <w:numFmt w:val="upperRoman"/>
      <w:pStyle w:val="footnote"/>
      <w:lvlText w:val="%1."/>
      <w:lvlJc w:val="center"/>
      <w:pPr>
        <w:ind w:left="0" w:firstLine="216"/>
      </w:pPr>
      <w:rPr>
        <w:rFonts w:ascii="Times New Roman" w:eastAsia="Times New Roman" w:hAnsi="Times New Roman" w:cs="Times New Roman"/>
        <w:b/>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i w:val="0"/>
        <w:smallCaps w:val="0"/>
        <w:strike w:val="0"/>
        <w:color w:val="000000"/>
        <w:sz w:val="22"/>
        <w:szCs w:val="22"/>
        <w:vertAlign w:val="baseline"/>
      </w:rPr>
    </w:lvl>
    <w:lvl w:ilvl="2">
      <w:start w:val="1"/>
      <w:numFmt w:val="decimal"/>
      <w:lvlText w:val="%3)"/>
      <w:lvlJc w:val="left"/>
      <w:pPr>
        <w:ind w:left="0" w:firstLine="180"/>
      </w:pPr>
      <w:rPr>
        <w:rFonts w:ascii="Times New Roman" w:eastAsia="Times New Roman" w:hAnsi="Times New Roman" w:cs="Times New Roman"/>
        <w:b w:val="0"/>
        <w:i w:val="0"/>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val="0"/>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5" w15:restartNumberingAfterBreak="0">
    <w:nsid w:val="4B0959C6"/>
    <w:multiLevelType w:val="multilevel"/>
    <w:tmpl w:val="751AD91C"/>
    <w:lvl w:ilvl="0">
      <w:start w:val="1"/>
      <w:numFmt w:val="decimal"/>
      <w:lvlText w:val="[%1]"/>
      <w:lvlJc w:val="left"/>
      <w:pPr>
        <w:ind w:left="360" w:hanging="360"/>
      </w:pPr>
      <w:rPr>
        <w:rFonts w:ascii="Times New Roman" w:eastAsia="Times New Roman" w:hAnsi="Times New Roman" w:cs="Times New Roman"/>
        <w:b w:val="0"/>
        <w:i w:val="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pStyle w:val="Heading4"/>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5E9D06DC"/>
    <w:multiLevelType w:val="multilevel"/>
    <w:tmpl w:val="95126E5A"/>
    <w:lvl w:ilvl="0">
      <w:start w:val="1"/>
      <w:numFmt w:val="bullet"/>
      <w:pStyle w:val="figurecaption"/>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 w15:restartNumberingAfterBreak="0">
    <w:nsid w:val="7BA53982"/>
    <w:multiLevelType w:val="multilevel"/>
    <w:tmpl w:val="F014CC04"/>
    <w:lvl w:ilvl="0">
      <w:start w:val="1"/>
      <w:numFmt w:val="bullet"/>
      <w:pStyle w:val="bulletlis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1286034878">
    <w:abstractNumId w:val="7"/>
  </w:num>
  <w:num w:numId="2" w16cid:durableId="1572081906">
    <w:abstractNumId w:val="6"/>
  </w:num>
  <w:num w:numId="3" w16cid:durableId="2088336550">
    <w:abstractNumId w:val="4"/>
  </w:num>
  <w:num w:numId="4" w16cid:durableId="1990788684">
    <w:abstractNumId w:val="0"/>
  </w:num>
  <w:num w:numId="5" w16cid:durableId="1617902823">
    <w:abstractNumId w:val="3"/>
  </w:num>
  <w:num w:numId="6" w16cid:durableId="528491051">
    <w:abstractNumId w:val="2"/>
  </w:num>
  <w:num w:numId="7" w16cid:durableId="1314870575">
    <w:abstractNumId w:val="5"/>
  </w:num>
  <w:num w:numId="8" w16cid:durableId="960498036">
    <w:abstractNumId w:val="1"/>
  </w:num>
  <w:num w:numId="9" w16cid:durableId="1205367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72"/>
    <w:rsid w:val="000D787A"/>
    <w:rsid w:val="002B57A0"/>
    <w:rsid w:val="00395C50"/>
    <w:rsid w:val="005478BF"/>
    <w:rsid w:val="006F0CFF"/>
    <w:rsid w:val="006F2EE0"/>
    <w:rsid w:val="00754CB4"/>
    <w:rsid w:val="007C6C6A"/>
    <w:rsid w:val="007E5C17"/>
    <w:rsid w:val="008F3DC9"/>
    <w:rsid w:val="00AB6772"/>
    <w:rsid w:val="00D918FF"/>
    <w:rsid w:val="00E33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565FD"/>
  <w15:docId w15:val="{C5C547C1-1DC2-493B-B0DC-06B808444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numPr>
        <w:numId w:val="4"/>
      </w:numPr>
      <w:tabs>
        <w:tab w:val="left" w:pos="216"/>
        <w:tab w:val="num" w:pos="576"/>
      </w:tabs>
      <w:spacing w:before="160" w:after="80"/>
      <w:ind w:left="-1"/>
    </w:pPr>
    <w:rPr>
      <w:smallCaps/>
      <w:noProof/>
    </w:rPr>
  </w:style>
  <w:style w:type="paragraph" w:styleId="Heading2">
    <w:name w:val="heading 2"/>
    <w:basedOn w:val="Normal"/>
    <w:next w:val="Normal"/>
    <w:uiPriority w:val="9"/>
    <w:unhideWhenUsed/>
    <w:qFormat/>
    <w:pPr>
      <w:keepNext/>
      <w:keepLines/>
      <w:numPr>
        <w:ilvl w:val="1"/>
        <w:numId w:val="5"/>
      </w:numPr>
      <w:spacing w:before="120" w:after="60"/>
      <w:jc w:val="left"/>
      <w:outlineLvl w:val="1"/>
    </w:pPr>
    <w:rPr>
      <w:i/>
      <w:iCs/>
      <w:noProof/>
    </w:rPr>
  </w:style>
  <w:style w:type="paragraph" w:styleId="Heading3">
    <w:name w:val="heading 3"/>
    <w:basedOn w:val="Normal"/>
    <w:next w:val="Normal"/>
    <w:uiPriority w:val="9"/>
    <w:unhideWhenUsed/>
    <w:qFormat/>
    <w:pPr>
      <w:numPr>
        <w:ilvl w:val="2"/>
        <w:numId w:val="6"/>
      </w:numPr>
      <w:tabs>
        <w:tab w:val="num" w:pos="540"/>
      </w:tabs>
      <w:spacing w:line="240" w:lineRule="atLeast"/>
      <w:ind w:left="-1"/>
      <w:jc w:val="both"/>
      <w:outlineLvl w:val="2"/>
    </w:pPr>
    <w:rPr>
      <w:i/>
      <w:iCs/>
      <w:noProof/>
    </w:rPr>
  </w:style>
  <w:style w:type="paragraph" w:styleId="Heading4">
    <w:name w:val="heading 4"/>
    <w:basedOn w:val="Normal"/>
    <w:next w:val="Normal"/>
    <w:uiPriority w:val="9"/>
    <w:unhideWhenUsed/>
    <w:qFormat/>
    <w:pPr>
      <w:numPr>
        <w:ilvl w:val="3"/>
        <w:numId w:val="7"/>
      </w:numPr>
      <w:tabs>
        <w:tab w:val="num" w:pos="720"/>
      </w:tabs>
      <w:spacing w:before="40" w:after="40"/>
      <w:ind w:left="-1" w:firstLine="360"/>
      <w:jc w:val="both"/>
      <w:outlineLvl w:val="3"/>
    </w:pPr>
    <w:rPr>
      <w:i/>
      <w:iCs/>
      <w:noProof/>
    </w:rPr>
  </w:style>
  <w:style w:type="paragraph" w:styleId="Heading5">
    <w:name w:val="heading 5"/>
    <w:basedOn w:val="Normal"/>
    <w:next w:val="Normal"/>
    <w:uiPriority w:val="9"/>
    <w:unhideWhenUsed/>
    <w:qFormat/>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bCs/>
      <w:position w:val="-1"/>
      <w:sz w:val="18"/>
      <w:szCs w:val="18"/>
    </w:rPr>
  </w:style>
  <w:style w:type="paragraph" w:customStyle="1" w:styleId="Affiliation">
    <w:name w:val="Affiliation"/>
    <w:pPr>
      <w:suppressAutoHyphens/>
      <w:spacing w:line="1" w:lineRule="atLeast"/>
      <w:ind w:leftChars="-1" w:left="-1" w:hangingChars="1" w:hanging="1"/>
      <w:textDirection w:val="btLr"/>
      <w:textAlignment w:val="top"/>
      <w:outlineLvl w:val="0"/>
    </w:pPr>
    <w:rPr>
      <w:position w:val="-1"/>
    </w:rPr>
  </w:style>
  <w:style w:type="paragraph" w:customStyle="1" w:styleId="Author">
    <w:name w:val="Author"/>
    <w:pPr>
      <w:suppressAutoHyphens/>
      <w:spacing w:before="360" w:after="40" w:line="1" w:lineRule="atLeast"/>
      <w:ind w:leftChars="-1" w:left="-1" w:hangingChars="1" w:hanging="1"/>
      <w:textDirection w:val="btLr"/>
      <w:textAlignment w:val="top"/>
      <w:outlineLvl w:val="0"/>
    </w:pPr>
    <w:rPr>
      <w:noProof/>
      <w:position w:val="-1"/>
      <w:sz w:val="22"/>
      <w:szCs w:val="22"/>
    </w:rPr>
  </w:style>
  <w:style w:type="paragraph" w:styleId="BodyText">
    <w:name w:val="Body Text"/>
    <w:basedOn w:val="Normal"/>
    <w:pPr>
      <w:spacing w:after="120" w:line="228" w:lineRule="auto"/>
      <w:ind w:firstLine="288"/>
      <w:jc w:val="both"/>
    </w:pPr>
  </w:style>
  <w:style w:type="paragraph" w:customStyle="1" w:styleId="bulletlist">
    <w:name w:val="bullet list"/>
    <w:basedOn w:val="BodyText"/>
    <w:pPr>
      <w:numPr>
        <w:numId w:val="1"/>
      </w:numPr>
      <w:tabs>
        <w:tab w:val="num" w:pos="648"/>
      </w:tabs>
      <w:ind w:left="648"/>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suppressAutoHyphens/>
      <w:spacing w:before="80" w:after="200" w:line="1" w:lineRule="atLeast"/>
      <w:ind w:leftChars="-1" w:left="-1" w:hangingChars="1" w:hanging="1"/>
      <w:textDirection w:val="btLr"/>
      <w:textAlignment w:val="top"/>
      <w:outlineLvl w:val="0"/>
    </w:pPr>
    <w:rPr>
      <w:noProof/>
      <w:position w:val="-1"/>
      <w:sz w:val="16"/>
      <w:szCs w:val="16"/>
    </w:rPr>
  </w:style>
  <w:style w:type="paragraph" w:customStyle="1" w:styleId="footnote">
    <w:name w:val="footnote"/>
    <w:pPr>
      <w:framePr w:hSpace="187" w:vSpace="187" w:wrap="notBeside" w:vAnchor="text" w:hAnchor="text" w:x="6121" w:y="577"/>
      <w:numPr>
        <w:numId w:val="3"/>
      </w:numPr>
      <w:suppressAutoHyphens/>
      <w:spacing w:after="40" w:line="1" w:lineRule="atLeast"/>
      <w:ind w:leftChars="-1" w:left="-1" w:hangingChars="1" w:hanging="1"/>
      <w:textDirection w:val="btLr"/>
      <w:textAlignment w:val="top"/>
      <w:outlineLvl w:val="0"/>
    </w:pPr>
    <w:rPr>
      <w:position w:val="-1"/>
      <w:sz w:val="16"/>
      <w:szCs w:val="16"/>
    </w:rPr>
  </w:style>
  <w:style w:type="paragraph" w:customStyle="1" w:styleId="keywords">
    <w:name w:val="key words"/>
    <w:pPr>
      <w:suppressAutoHyphens/>
      <w:spacing w:after="120" w:line="1" w:lineRule="atLeast"/>
      <w:ind w:leftChars="-1" w:left="-1" w:hangingChars="1" w:hanging="1"/>
      <w:jc w:val="both"/>
      <w:textDirection w:val="btLr"/>
      <w:textAlignment w:val="top"/>
      <w:outlineLvl w:val="0"/>
    </w:pPr>
    <w:rPr>
      <w:b/>
      <w:bCs/>
      <w:i/>
      <w:iCs/>
      <w:noProof/>
      <w:position w:val="-1"/>
      <w:sz w:val="18"/>
      <w:szCs w:val="18"/>
    </w:rPr>
  </w:style>
  <w:style w:type="paragraph" w:customStyle="1" w:styleId="papersubtitle">
    <w:name w:val="paper subtitle"/>
    <w:pPr>
      <w:suppressAutoHyphens/>
      <w:spacing w:after="120" w:line="1" w:lineRule="atLeast"/>
      <w:ind w:leftChars="-1" w:left="-1" w:hangingChars="1" w:hanging="1"/>
      <w:textDirection w:val="btLr"/>
      <w:textAlignment w:val="top"/>
      <w:outlineLvl w:val="0"/>
    </w:pPr>
    <w:rPr>
      <w:noProof/>
      <w:position w:val="-1"/>
      <w:sz w:val="28"/>
      <w:szCs w:val="28"/>
    </w:rPr>
  </w:style>
  <w:style w:type="paragraph" w:customStyle="1" w:styleId="papertitle">
    <w:name w:val="paper title"/>
    <w:pPr>
      <w:suppressAutoHyphens/>
      <w:spacing w:after="120" w:line="1" w:lineRule="atLeast"/>
      <w:ind w:leftChars="-1" w:left="-1" w:hangingChars="1" w:hanging="1"/>
      <w:textDirection w:val="btLr"/>
      <w:textAlignment w:val="top"/>
      <w:outlineLvl w:val="0"/>
    </w:pPr>
    <w:rPr>
      <w:noProof/>
      <w:position w:val="-1"/>
      <w:sz w:val="48"/>
      <w:szCs w:val="48"/>
    </w:rPr>
  </w:style>
  <w:style w:type="paragraph" w:customStyle="1" w:styleId="references">
    <w:name w:val="references"/>
    <w:pPr>
      <w:numPr>
        <w:numId w:val="8"/>
      </w:numPr>
      <w:suppressAutoHyphens/>
      <w:spacing w:after="50" w:line="180" w:lineRule="atLeast"/>
      <w:ind w:leftChars="-1" w:left="-1" w:hangingChars="1" w:hanging="1"/>
      <w:jc w:val="both"/>
      <w:textDirection w:val="btLr"/>
      <w:textAlignment w:val="top"/>
      <w:outlineLvl w:val="0"/>
    </w:pPr>
    <w:rPr>
      <w:noProof/>
      <w:position w:val="-1"/>
      <w:sz w:val="16"/>
      <w:szCs w:val="16"/>
    </w:rPr>
  </w:style>
  <w:style w:type="paragraph" w:customStyle="1" w:styleId="sponsors">
    <w:name w:val="sponsors"/>
    <w:pPr>
      <w:framePr w:wrap="auto" w:hAnchor="text" w:x="615" w:y="2239"/>
      <w:pBdr>
        <w:top w:val="single" w:sz="4" w:space="2" w:color="auto"/>
      </w:pBdr>
      <w:suppressAutoHyphens/>
      <w:spacing w:line="1" w:lineRule="atLeast"/>
      <w:ind w:leftChars="-1" w:left="-1" w:hangingChars="1" w:hanging="1"/>
      <w:textDirection w:val="btLr"/>
      <w:textAlignment w:val="top"/>
      <w:outlineLvl w:val="0"/>
    </w:pPr>
    <w:rPr>
      <w:position w:val="-1"/>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noProof/>
      <w:position w:val="-1"/>
      <w:sz w:val="16"/>
      <w:szCs w:val="16"/>
    </w:rPr>
  </w:style>
  <w:style w:type="paragraph" w:customStyle="1" w:styleId="tablefootnote">
    <w:name w:val="table footnote"/>
    <w:pPr>
      <w:suppressAutoHyphens/>
      <w:spacing w:before="60" w:after="30" w:line="1" w:lineRule="atLeast"/>
      <w:ind w:leftChars="-1" w:left="-1" w:hangingChars="1" w:hanging="1"/>
      <w:jc w:val="right"/>
      <w:textDirection w:val="btLr"/>
      <w:textAlignment w:val="top"/>
      <w:outlineLvl w:val="0"/>
    </w:pPr>
    <w:rPr>
      <w:position w:val="-1"/>
      <w:sz w:val="12"/>
      <w:szCs w:val="12"/>
    </w:rPr>
  </w:style>
  <w:style w:type="paragraph" w:customStyle="1" w:styleId="tablehead">
    <w:name w:val="table head"/>
    <w:pPr>
      <w:tabs>
        <w:tab w:val="num" w:pos="720"/>
      </w:tabs>
      <w:suppressAutoHyphens/>
      <w:spacing w:before="240" w:after="120" w:line="216" w:lineRule="auto"/>
      <w:ind w:leftChars="-1" w:left="-1" w:hangingChars="1" w:hanging="1"/>
      <w:textDirection w:val="btLr"/>
      <w:textAlignment w:val="top"/>
      <w:outlineLvl w:val="0"/>
    </w:pPr>
    <w:rPr>
      <w:smallCaps/>
      <w:noProof/>
      <w:position w:val="-1"/>
      <w:sz w:val="16"/>
      <w:szCs w:val="16"/>
    </w:rPr>
  </w:style>
  <w:style w:type="paragraph" w:customStyle="1" w:styleId="StyleAbstractItalic">
    <w:name w:val="Style Abstract + Italic"/>
    <w:basedOn w:val="Abstract"/>
    <w:rPr>
      <w:i/>
      <w:iCs/>
    </w:rPr>
  </w:style>
  <w:style w:type="character" w:customStyle="1" w:styleId="AbstractChar">
    <w:name w:val="Abstract Char"/>
    <w:rPr>
      <w:b/>
      <w:bCs/>
      <w:w w:val="100"/>
      <w:position w:val="-1"/>
      <w:sz w:val="18"/>
      <w:szCs w:val="18"/>
      <w:effect w:val="none"/>
      <w:vertAlign w:val="baseline"/>
      <w:cs w:val="0"/>
      <w:em w:val="none"/>
      <w:lang w:val="en-US" w:eastAsia="en-US" w:bidi="ar-SA"/>
    </w:rPr>
  </w:style>
  <w:style w:type="character" w:customStyle="1" w:styleId="StyleAbstractItalicChar">
    <w:name w:val="Style Abstract + Italic Char"/>
    <w:rPr>
      <w:b/>
      <w:bCs/>
      <w:i/>
      <w:iCs/>
      <w:w w:val="100"/>
      <w:position w:val="-1"/>
      <w:sz w:val="18"/>
      <w:szCs w:val="18"/>
      <w:effect w:val="none"/>
      <w:vertAlign w:val="baseline"/>
      <w:cs w:val="0"/>
      <w:em w:val="none"/>
      <w:lang w:val="en-US" w:eastAsia="en-US" w:bidi="ar-SA"/>
    </w:rPr>
  </w:style>
  <w:style w:type="character" w:customStyle="1" w:styleId="BodyTextChar">
    <w:name w:val="Body Text Char"/>
    <w:rPr>
      <w:w w:val="100"/>
      <w:position w:val="-1"/>
      <w:effect w:val="none"/>
      <w:vertAlign w:val="baseline"/>
      <w:cs w:val="0"/>
      <w:em w:val="none"/>
    </w:rPr>
  </w:style>
  <w:style w:type="paragraph" w:styleId="NormalWeb">
    <w:name w:val="Normal (Web)"/>
    <w:basedOn w:val="Normal"/>
    <w:qFormat/>
    <w:pPr>
      <w:spacing w:before="100" w:beforeAutospacing="1" w:after="100" w:afterAutospacing="1"/>
      <w:jc w:val="left"/>
    </w:pPr>
  </w:style>
  <w:style w:type="character" w:customStyle="1" w:styleId="activity-link">
    <w:name w:val="activity-link"/>
    <w:rPr>
      <w:w w:val="100"/>
      <w:position w:val="-1"/>
      <w:effect w:val="none"/>
      <w:vertAlign w:val="baseline"/>
      <w:cs w:val="0"/>
      <w:em w:val="none"/>
    </w:rPr>
  </w:style>
  <w:style w:type="paragraph" w:customStyle="1" w:styleId="JudulBabUtama">
    <w:name w:val="Judul Bab Utama"/>
    <w:basedOn w:val="Normal"/>
    <w:pPr>
      <w:tabs>
        <w:tab w:val="left" w:pos="425"/>
      </w:tabs>
    </w:pPr>
    <w:rPr>
      <w:b/>
      <w:bCs/>
      <w:color w:val="000000"/>
      <w:sz w:val="24"/>
      <w:szCs w:val="22"/>
    </w:rPr>
  </w:style>
  <w:style w:type="character" w:customStyle="1" w:styleId="JudulBabUtamaChar">
    <w:name w:val="Judul Bab Utama Char"/>
    <w:rPr>
      <w:b/>
      <w:bCs/>
      <w:color w:val="000000"/>
      <w:w w:val="100"/>
      <w:position w:val="-1"/>
      <w:sz w:val="24"/>
      <w:szCs w:val="22"/>
      <w:effect w:val="none"/>
      <w:vertAlign w:val="baseline"/>
      <w:cs w:val="0"/>
      <w:em w:val="none"/>
    </w:rPr>
  </w:style>
  <w:style w:type="paragraph" w:styleId="Caption">
    <w:name w:val="caption"/>
    <w:basedOn w:val="Normal"/>
    <w:next w:val="Normal"/>
    <w:qFormat/>
    <w:pPr>
      <w:tabs>
        <w:tab w:val="left" w:pos="425"/>
      </w:tabs>
      <w:spacing w:before="120"/>
    </w:pPr>
    <w:rPr>
      <w:b/>
      <w:iCs/>
      <w:color w:val="000000"/>
      <w:sz w:val="22"/>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eK+vt7JDZ+JXxbkDqWfQw7XDnw==">CgMxLjAyDmgueGk0bjdndnluNGY1OAByITExZ3pFWms4Vk5HNWhhQm9odkJCTE9yV0t3RUdwR2RSOA==</go:docsCustomData>
</go:gDocsCustomXmlDataStorage>
</file>

<file path=customXml/itemProps1.xml><?xml version="1.0" encoding="utf-8"?>
<ds:datastoreItem xmlns:ds="http://schemas.openxmlformats.org/officeDocument/2006/customXml" ds:itemID="{B2FD7BDA-AD47-402D-B607-D055D81CB61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14285</Words>
  <Characters>81425</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HP</cp:lastModifiedBy>
  <cp:revision>9</cp:revision>
  <dcterms:created xsi:type="dcterms:W3CDTF">2026-08-28T03:13:00Z</dcterms:created>
  <dcterms:modified xsi:type="dcterms:W3CDTF">2026-08-28T03:23:00Z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http://www.zotero.org/styles/apa</vt:lpwstr>
  </property>
  <property fmtid="{D5CDD505-2E9C-101B-9397-08002B2CF9AE}" pid="5" name="Mendeley Recent Style Name 1_1">
    <vt:lpwstr>APA Style 7th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APSA Style Manual revised 2018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ASA Style Guide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6e39f457-305c-32d9-b9d5-bd3102d7b44e</vt:lpwstr>
  </property>
  <property fmtid="{D5CDD505-2E9C-101B-9397-08002B2CF9AE}" pid="24" name="Mendeley Citation Style_1">
    <vt:lpwstr>http://www.zotero.org/styles/ieee</vt:lpwstr>
  </property>
</Properties>
</file>