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F30" w:rsidRPr="003E4F30" w:rsidRDefault="003E4F30" w:rsidP="00991A5A">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MENJADI MUK</w:t>
      </w:r>
      <w:r w:rsidRPr="003E4F30">
        <w:rPr>
          <w:rFonts w:asciiTheme="majorBidi" w:hAnsiTheme="majorBidi" w:cstheme="majorBidi"/>
          <w:b/>
          <w:bCs/>
          <w:sz w:val="28"/>
          <w:szCs w:val="28"/>
        </w:rPr>
        <w:t>M</w:t>
      </w:r>
      <w:r>
        <w:rPr>
          <w:rFonts w:asciiTheme="majorBidi" w:hAnsiTheme="majorBidi" w:cstheme="majorBidi"/>
          <w:b/>
          <w:bCs/>
          <w:sz w:val="28"/>
          <w:szCs w:val="28"/>
        </w:rPr>
        <w:t>IN</w:t>
      </w:r>
      <w:r w:rsidRPr="003E4F30">
        <w:rPr>
          <w:rFonts w:asciiTheme="majorBidi" w:hAnsiTheme="majorBidi" w:cstheme="majorBidi"/>
          <w:b/>
          <w:bCs/>
          <w:sz w:val="28"/>
          <w:szCs w:val="28"/>
        </w:rPr>
        <w:t xml:space="preserve"> SEJATI </w:t>
      </w:r>
      <w:r w:rsidR="00991A5A">
        <w:rPr>
          <w:rFonts w:asciiTheme="majorBidi" w:hAnsiTheme="majorBidi" w:cstheme="majorBidi"/>
          <w:b/>
          <w:bCs/>
          <w:sz w:val="28"/>
          <w:szCs w:val="28"/>
        </w:rPr>
        <w:t>PRESPEKTIF</w:t>
      </w:r>
      <w:r w:rsidRPr="003E4F30">
        <w:rPr>
          <w:rFonts w:asciiTheme="majorBidi" w:hAnsiTheme="majorBidi" w:cstheme="majorBidi"/>
          <w:b/>
          <w:bCs/>
          <w:sz w:val="28"/>
          <w:szCs w:val="28"/>
        </w:rPr>
        <w:t xml:space="preserve"> AL-QUR’AN:</w:t>
      </w:r>
    </w:p>
    <w:p w:rsidR="00D64C5A" w:rsidRDefault="00991A5A" w:rsidP="00DF323A">
      <w:pPr>
        <w:spacing w:line="240" w:lineRule="auto"/>
        <w:jc w:val="center"/>
        <w:rPr>
          <w:rFonts w:asciiTheme="majorBidi" w:hAnsiTheme="majorBidi" w:cstheme="majorBidi"/>
          <w:b/>
          <w:bCs/>
          <w:sz w:val="28"/>
          <w:szCs w:val="28"/>
        </w:rPr>
      </w:pPr>
      <w:r w:rsidRPr="00991A5A">
        <w:rPr>
          <w:rFonts w:asciiTheme="majorBidi" w:hAnsiTheme="majorBidi" w:cstheme="majorBidi"/>
          <w:b/>
          <w:bCs/>
          <w:sz w:val="28"/>
          <w:szCs w:val="28"/>
        </w:rPr>
        <w:t>TELAAH TAFSIR JALĀLAIN</w:t>
      </w:r>
    </w:p>
    <w:p w:rsidR="003E4F30" w:rsidRPr="00D64C5A" w:rsidRDefault="003E4F30" w:rsidP="00D64C5A">
      <w:pPr>
        <w:spacing w:line="240" w:lineRule="auto"/>
        <w:jc w:val="center"/>
        <w:rPr>
          <w:rFonts w:asciiTheme="majorBidi" w:hAnsiTheme="majorBidi" w:cstheme="majorBidi"/>
          <w:b/>
          <w:bCs/>
          <w:sz w:val="28"/>
          <w:szCs w:val="28"/>
        </w:rPr>
      </w:pPr>
      <w:r>
        <w:rPr>
          <w:rFonts w:asciiTheme="majorBidi" w:hAnsiTheme="majorBidi" w:cstheme="majorBidi"/>
          <w:b/>
          <w:bCs/>
          <w:sz w:val="24"/>
          <w:szCs w:val="24"/>
        </w:rPr>
        <w:t>Althaf Husein Muzakky</w:t>
      </w:r>
    </w:p>
    <w:p w:rsidR="00382B86" w:rsidRPr="00382B86" w:rsidRDefault="00382B86" w:rsidP="003E4F30">
      <w:pPr>
        <w:spacing w:after="0"/>
        <w:jc w:val="center"/>
        <w:rPr>
          <w:rFonts w:asciiTheme="majorBidi" w:hAnsiTheme="majorBidi" w:cstheme="majorBidi"/>
          <w:sz w:val="24"/>
          <w:szCs w:val="24"/>
        </w:rPr>
      </w:pPr>
      <w:r>
        <w:rPr>
          <w:rFonts w:asciiTheme="majorBidi" w:hAnsiTheme="majorBidi" w:cstheme="majorBidi"/>
          <w:sz w:val="24"/>
          <w:szCs w:val="24"/>
        </w:rPr>
        <w:t>Pondok Pesantren al-Munawwir Krapyak Yogyakarta</w:t>
      </w:r>
    </w:p>
    <w:p w:rsidR="00382B86" w:rsidRDefault="00382B86" w:rsidP="00382B86">
      <w:pPr>
        <w:spacing w:after="0"/>
        <w:jc w:val="center"/>
        <w:rPr>
          <w:rFonts w:asciiTheme="majorBidi" w:hAnsiTheme="majorBidi" w:cstheme="majorBidi"/>
          <w:sz w:val="24"/>
          <w:szCs w:val="24"/>
        </w:rPr>
      </w:pPr>
      <w:r>
        <w:rPr>
          <w:rFonts w:asciiTheme="majorBidi" w:hAnsiTheme="majorBidi" w:cstheme="majorBidi"/>
          <w:sz w:val="24"/>
          <w:szCs w:val="24"/>
        </w:rPr>
        <w:t xml:space="preserve">Pascasarjana Program Studi Aqidah dan Filsafat Islam </w:t>
      </w:r>
    </w:p>
    <w:p w:rsidR="003E4F30" w:rsidRDefault="003E4F30" w:rsidP="00382B86">
      <w:pPr>
        <w:spacing w:after="0"/>
        <w:jc w:val="center"/>
        <w:rPr>
          <w:rFonts w:asciiTheme="majorBidi" w:hAnsiTheme="majorBidi" w:cstheme="majorBidi"/>
          <w:sz w:val="24"/>
          <w:szCs w:val="24"/>
        </w:rPr>
      </w:pPr>
      <w:r>
        <w:rPr>
          <w:rFonts w:asciiTheme="majorBidi" w:hAnsiTheme="majorBidi" w:cstheme="majorBidi"/>
          <w:sz w:val="24"/>
          <w:szCs w:val="24"/>
        </w:rPr>
        <w:t>UIN Sunan Kalijaga Yogyakarta</w:t>
      </w:r>
    </w:p>
    <w:p w:rsidR="003E4F30" w:rsidRPr="003E4F30" w:rsidRDefault="003E4F30" w:rsidP="003E4F30">
      <w:pPr>
        <w:spacing w:after="0"/>
        <w:jc w:val="center"/>
        <w:rPr>
          <w:rFonts w:asciiTheme="majorBidi" w:hAnsiTheme="majorBidi" w:cstheme="majorBidi"/>
          <w:sz w:val="24"/>
          <w:szCs w:val="24"/>
          <w:u w:val="single"/>
        </w:rPr>
      </w:pPr>
      <w:r w:rsidRPr="003E4F30">
        <w:rPr>
          <w:rFonts w:asciiTheme="majorBidi" w:hAnsiTheme="majorBidi" w:cstheme="majorBidi"/>
          <w:sz w:val="24"/>
          <w:szCs w:val="24"/>
          <w:u w:val="single"/>
        </w:rPr>
        <w:t xml:space="preserve">Email: </w:t>
      </w:r>
      <w:r w:rsidR="00382B86">
        <w:fldChar w:fldCharType="begin"/>
      </w:r>
      <w:r w:rsidR="00382B86">
        <w:instrText xml:space="preserve"> HYPERLINK "mailto:althofhusein@gmail.com" </w:instrText>
      </w:r>
      <w:r w:rsidR="00382B86">
        <w:fldChar w:fldCharType="separate"/>
      </w:r>
      <w:r w:rsidRPr="003E4F30">
        <w:rPr>
          <w:rStyle w:val="Hyperlink"/>
          <w:rFonts w:asciiTheme="majorBidi" w:hAnsiTheme="majorBidi" w:cstheme="majorBidi"/>
          <w:color w:val="auto"/>
          <w:sz w:val="24"/>
          <w:szCs w:val="24"/>
        </w:rPr>
        <w:t>althofhusein@gmail.com</w:t>
      </w:r>
      <w:r w:rsidR="00382B86">
        <w:rPr>
          <w:rStyle w:val="Hyperlink"/>
          <w:rFonts w:asciiTheme="majorBidi" w:hAnsiTheme="majorBidi" w:cstheme="majorBidi"/>
          <w:color w:val="auto"/>
          <w:sz w:val="24"/>
          <w:szCs w:val="24"/>
        </w:rPr>
        <w:fldChar w:fldCharType="end"/>
      </w:r>
    </w:p>
    <w:p w:rsidR="003E4F30" w:rsidRDefault="003E4F30" w:rsidP="003E4F30">
      <w:pPr>
        <w:spacing w:after="0"/>
        <w:jc w:val="center"/>
        <w:rPr>
          <w:rFonts w:asciiTheme="majorBidi" w:hAnsiTheme="majorBidi" w:cstheme="majorBidi"/>
          <w:sz w:val="24"/>
          <w:szCs w:val="24"/>
          <w:u w:val="single"/>
        </w:rPr>
      </w:pPr>
    </w:p>
    <w:p w:rsidR="003E4F30" w:rsidRDefault="003E4F30" w:rsidP="00E96482">
      <w:pPr>
        <w:spacing w:after="0" w:line="240" w:lineRule="auto"/>
        <w:jc w:val="center"/>
        <w:rPr>
          <w:rFonts w:asciiTheme="majorBidi" w:hAnsiTheme="majorBidi" w:cstheme="majorBidi"/>
          <w:b/>
          <w:bCs/>
          <w:sz w:val="24"/>
          <w:szCs w:val="24"/>
        </w:rPr>
      </w:pPr>
      <w:r w:rsidRPr="003E4F30">
        <w:rPr>
          <w:rFonts w:asciiTheme="majorBidi" w:hAnsiTheme="majorBidi" w:cstheme="majorBidi"/>
          <w:b/>
          <w:bCs/>
          <w:sz w:val="24"/>
          <w:szCs w:val="24"/>
        </w:rPr>
        <w:t>Abstrak</w:t>
      </w:r>
    </w:p>
    <w:p w:rsidR="00A70BB8" w:rsidRDefault="0019432D" w:rsidP="00A70BB8">
      <w:pPr>
        <w:spacing w:after="0" w:line="240" w:lineRule="auto"/>
        <w:ind w:left="567" w:right="566"/>
        <w:jc w:val="both"/>
        <w:rPr>
          <w:rFonts w:asciiTheme="majorBidi" w:hAnsiTheme="majorBidi" w:cstheme="majorBidi"/>
          <w:sz w:val="24"/>
          <w:szCs w:val="24"/>
        </w:rPr>
      </w:pPr>
      <w:r w:rsidRPr="00874A55">
        <w:rPr>
          <w:rFonts w:asciiTheme="majorBidi" w:hAnsiTheme="majorBidi" w:cstheme="majorBidi"/>
          <w:sz w:val="24"/>
          <w:szCs w:val="24"/>
        </w:rPr>
        <w:t xml:space="preserve">Dinamika seorang mukmin dewasa ini semakin kompleks. Persoalannya, tidak semua orang mukmin memiliki wawasan pengetahuan agama yang memadai sehingga seringkali apa yang diketahui dianggap </w:t>
      </w:r>
      <w:r w:rsidRPr="00874A55">
        <w:rPr>
          <w:rFonts w:asciiTheme="majorBidi" w:hAnsiTheme="majorBidi" w:cstheme="majorBidi"/>
          <w:i/>
          <w:iCs/>
          <w:sz w:val="24"/>
          <w:szCs w:val="24"/>
        </w:rPr>
        <w:t xml:space="preserve">truth claim </w:t>
      </w:r>
      <w:r w:rsidRPr="00874A55">
        <w:rPr>
          <w:rFonts w:asciiTheme="majorBidi" w:hAnsiTheme="majorBidi" w:cstheme="majorBidi"/>
          <w:sz w:val="24"/>
          <w:szCs w:val="24"/>
        </w:rPr>
        <w:t>(kebenara</w:t>
      </w:r>
      <w:r w:rsidRPr="00874A55">
        <w:rPr>
          <w:rFonts w:asciiTheme="majorBidi" w:hAnsiTheme="majorBidi" w:cstheme="majorBidi"/>
          <w:i/>
          <w:iCs/>
          <w:sz w:val="24"/>
          <w:szCs w:val="24"/>
        </w:rPr>
        <w:t>n</w:t>
      </w:r>
      <w:r w:rsidRPr="00874A55">
        <w:rPr>
          <w:rFonts w:asciiTheme="majorBidi" w:hAnsiTheme="majorBidi" w:cstheme="majorBidi"/>
          <w:sz w:val="24"/>
          <w:szCs w:val="24"/>
        </w:rPr>
        <w:t xml:space="preserve"> mutlak) sehingga menimbulkan kontestasi pendapat siapa yang paling benar. Tulisan ini bertujuan memberi penjelasan tentang mukmin sejati dalam al-Qur’an melalui tafsir Jalālain yang sangat populer di bumi katulistiwa. Penelitian ini adalah penelitian kualitatif dengan menggunakan library research dengan pendekatan normatif melalui </w:t>
      </w:r>
      <w:r w:rsidR="00874A55" w:rsidRPr="00874A55">
        <w:rPr>
          <w:rFonts w:asciiTheme="majorBidi" w:hAnsiTheme="majorBidi" w:cstheme="majorBidi"/>
          <w:sz w:val="24"/>
          <w:szCs w:val="24"/>
        </w:rPr>
        <w:t xml:space="preserve">kitab </w:t>
      </w:r>
      <w:r w:rsidRPr="00874A55">
        <w:rPr>
          <w:rFonts w:asciiTheme="majorBidi" w:hAnsiTheme="majorBidi" w:cstheme="majorBidi"/>
          <w:sz w:val="24"/>
          <w:szCs w:val="24"/>
        </w:rPr>
        <w:t>tafsir</w:t>
      </w:r>
      <w:r w:rsidR="00874A55" w:rsidRPr="00874A55">
        <w:rPr>
          <w:rFonts w:asciiTheme="majorBidi" w:hAnsiTheme="majorBidi" w:cstheme="majorBidi"/>
          <w:sz w:val="24"/>
          <w:szCs w:val="24"/>
        </w:rPr>
        <w:t xml:space="preserve"> dengan metode tafsir mauḍu’i dan dianlisis menggunakan linguistik dan sosiohistoris dengan as</w:t>
      </w:r>
      <w:r w:rsidR="00874A55" w:rsidRPr="00874A55">
        <w:rPr>
          <w:rFonts w:ascii="Times New Roman" w:hAnsi="Times New Roman" w:cs="Times New Roman"/>
          <w:sz w:val="24"/>
          <w:szCs w:val="24"/>
        </w:rPr>
        <w:t>bā</w:t>
      </w:r>
      <w:r w:rsidR="00874A55" w:rsidRPr="00874A55">
        <w:rPr>
          <w:rFonts w:asciiTheme="majorBidi" w:hAnsiTheme="majorBidi" w:cstheme="majorBidi"/>
          <w:sz w:val="24"/>
          <w:szCs w:val="24"/>
        </w:rPr>
        <w:t xml:space="preserve">bun nuzūl untuk mengetahui makna dari ayat al-Qur’an tentang mukmin sejati. Hasil dari penelitian ini adalah </w:t>
      </w:r>
      <w:r w:rsidR="00874A55" w:rsidRPr="00874A55">
        <w:rPr>
          <w:rFonts w:asciiTheme="majorBidi" w:hAnsiTheme="majorBidi" w:cstheme="majorBidi"/>
          <w:i/>
          <w:iCs/>
          <w:sz w:val="24"/>
          <w:szCs w:val="24"/>
        </w:rPr>
        <w:t xml:space="preserve">pertama, </w:t>
      </w:r>
      <w:r w:rsidR="00874A55" w:rsidRPr="00874A55">
        <w:rPr>
          <w:rFonts w:asciiTheme="majorBidi" w:hAnsiTheme="majorBidi" w:cstheme="majorBidi"/>
          <w:sz w:val="24"/>
          <w:szCs w:val="24"/>
        </w:rPr>
        <w:t xml:space="preserve">mukmin sejati adalah mereka yang seimbang dan proposional dalam kesalehan keimanan spiritual individual dan kesalehan keimanan sosial. </w:t>
      </w:r>
      <w:r w:rsidR="00874A55" w:rsidRPr="00874A55">
        <w:rPr>
          <w:rFonts w:asciiTheme="majorBidi" w:hAnsiTheme="majorBidi" w:cstheme="majorBidi"/>
          <w:i/>
          <w:iCs/>
          <w:sz w:val="24"/>
          <w:szCs w:val="24"/>
        </w:rPr>
        <w:t xml:space="preserve">Kedua, </w:t>
      </w:r>
      <w:r w:rsidR="00874A55" w:rsidRPr="00874A55">
        <w:rPr>
          <w:rFonts w:asciiTheme="majorBidi" w:hAnsiTheme="majorBidi" w:cstheme="majorBidi"/>
          <w:sz w:val="24"/>
          <w:szCs w:val="24"/>
        </w:rPr>
        <w:t xml:space="preserve">terdapat banyak definisi mukmin sejati dalam al-Qur’an yang berlu disikapi dengan bijak sebab bersifat provokatif dan debatable seperti hijrah dan jihad. Ketiga makna yang paling substansial menurut dari menjadi mukmin sejati adalah menjaga </w:t>
      </w:r>
      <w:r w:rsidR="00874A55" w:rsidRPr="00874A55">
        <w:rPr>
          <w:rFonts w:asciiTheme="majorBidi" w:hAnsiTheme="majorBidi" w:cstheme="majorBidi"/>
          <w:i/>
          <w:iCs/>
          <w:sz w:val="24"/>
          <w:szCs w:val="24"/>
        </w:rPr>
        <w:t>ukhwah</w:t>
      </w:r>
      <w:r w:rsidR="00874A55" w:rsidRPr="00874A55">
        <w:rPr>
          <w:rFonts w:asciiTheme="majorBidi" w:hAnsiTheme="majorBidi" w:cstheme="majorBidi"/>
          <w:sz w:val="24"/>
          <w:szCs w:val="24"/>
        </w:rPr>
        <w:t xml:space="preserve"> (nilai persaudaraan) dan kerukunan antar umat.</w:t>
      </w:r>
    </w:p>
    <w:p w:rsidR="003E4F30" w:rsidRDefault="00E96482" w:rsidP="00A70BB8">
      <w:pPr>
        <w:spacing w:before="240" w:after="0" w:line="240" w:lineRule="auto"/>
        <w:rPr>
          <w:rFonts w:asciiTheme="majorBidi" w:hAnsiTheme="majorBidi" w:cstheme="majorBidi"/>
          <w:b/>
          <w:bCs/>
          <w:sz w:val="24"/>
          <w:szCs w:val="24"/>
        </w:rPr>
      </w:pPr>
      <w:r>
        <w:rPr>
          <w:rFonts w:asciiTheme="majorBidi" w:hAnsiTheme="majorBidi" w:cstheme="majorBidi"/>
          <w:b/>
          <w:bCs/>
          <w:sz w:val="24"/>
          <w:szCs w:val="24"/>
        </w:rPr>
        <w:t>Kata Kunci</w:t>
      </w:r>
      <w:r w:rsidR="007935D4">
        <w:rPr>
          <w:rFonts w:asciiTheme="majorBidi" w:hAnsiTheme="majorBidi" w:cstheme="majorBidi"/>
          <w:b/>
          <w:bCs/>
          <w:sz w:val="24"/>
          <w:szCs w:val="24"/>
        </w:rPr>
        <w:t xml:space="preserve">: </w:t>
      </w:r>
      <w:r w:rsidR="007935D4" w:rsidRPr="00E96482">
        <w:rPr>
          <w:rFonts w:asciiTheme="majorBidi" w:hAnsiTheme="majorBidi" w:cstheme="majorBidi"/>
          <w:sz w:val="24"/>
          <w:szCs w:val="24"/>
        </w:rPr>
        <w:t>Mukmin Sejati, al-Qur’an, Tafsir Jalālain</w:t>
      </w:r>
      <w:r>
        <w:rPr>
          <w:rFonts w:asciiTheme="majorBidi" w:hAnsiTheme="majorBidi" w:cstheme="majorBidi"/>
          <w:sz w:val="24"/>
          <w:szCs w:val="24"/>
        </w:rPr>
        <w:t>.</w:t>
      </w:r>
    </w:p>
    <w:p w:rsidR="00E96482" w:rsidRDefault="00E96482" w:rsidP="00E96482">
      <w:pPr>
        <w:spacing w:after="0" w:line="240" w:lineRule="auto"/>
        <w:rPr>
          <w:rFonts w:asciiTheme="majorBidi" w:hAnsiTheme="majorBidi" w:cstheme="majorBidi"/>
          <w:b/>
          <w:bCs/>
          <w:sz w:val="24"/>
          <w:szCs w:val="24"/>
        </w:rPr>
      </w:pPr>
    </w:p>
    <w:p w:rsidR="00E96482" w:rsidRPr="00E96482" w:rsidRDefault="00E96482" w:rsidP="00E96482">
      <w:pPr>
        <w:spacing w:after="0"/>
        <w:jc w:val="center"/>
        <w:rPr>
          <w:rFonts w:asciiTheme="majorBidi" w:hAnsiTheme="majorBidi" w:cstheme="majorBidi"/>
          <w:b/>
          <w:bCs/>
          <w:sz w:val="24"/>
          <w:szCs w:val="24"/>
        </w:rPr>
      </w:pPr>
      <w:r w:rsidRPr="00E96482">
        <w:rPr>
          <w:rFonts w:asciiTheme="majorBidi" w:hAnsiTheme="majorBidi" w:cstheme="majorBidi"/>
          <w:b/>
          <w:bCs/>
          <w:sz w:val="24"/>
          <w:szCs w:val="24"/>
        </w:rPr>
        <w:t>Abstrack</w:t>
      </w:r>
    </w:p>
    <w:p w:rsidR="00E96482" w:rsidRPr="00E96482" w:rsidRDefault="00E96482" w:rsidP="00E96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6"/>
        <w:jc w:val="both"/>
        <w:rPr>
          <w:rFonts w:asciiTheme="majorBidi" w:eastAsia="Times New Roman" w:hAnsiTheme="majorBidi" w:cstheme="majorBidi"/>
          <w:sz w:val="24"/>
          <w:szCs w:val="24"/>
        </w:rPr>
      </w:pPr>
      <w:r w:rsidRPr="00E96482">
        <w:rPr>
          <w:rFonts w:asciiTheme="majorBidi" w:eastAsia="Times New Roman" w:hAnsiTheme="majorBidi" w:cstheme="majorBidi"/>
          <w:sz w:val="24"/>
          <w:szCs w:val="24"/>
        </w:rPr>
        <w:t>The dynamics of a believer today are increasingly complex. The problem is, not all believers have adequate insights of religious knowledge so that what is often known is considered a truth claim (absolute truth) so as to cause contestation of whose opinion is the most correct. This paper aims to provide an explanation of the true believers in the Qur'an through the Jalālain interpretation which is very popular on the earth's equator. This research is a qualitative study using library research with a normative approach through the interpretation book with the interpretation method of mauḍu'i and analyzed using linguistics and sociohistorical with asbābun nuzūl to find out the meaning of the Qur'anic verses about true believers. The results of this study are first, true believers are those who are balanced and proportional in the piety of individual spiritual faith and piety of social faith. Second, there are many definitions of true believers in the Qur'an which need to be addressed wisely because they are provocative and debatable such as hijrah and jihad. The three most substantial meanings according to being a true believer are maintaining ukhwah (brotherhood values) and harmony among people.</w:t>
      </w:r>
    </w:p>
    <w:p w:rsidR="00E96482" w:rsidRPr="00E96482" w:rsidRDefault="00E96482" w:rsidP="00A70BB8">
      <w:pPr>
        <w:pStyle w:val="HTMLPreformatted"/>
        <w:spacing w:before="240"/>
        <w:jc w:val="both"/>
        <w:rPr>
          <w:rFonts w:asciiTheme="majorBidi" w:hAnsiTheme="majorBidi" w:cstheme="majorBidi"/>
          <w:sz w:val="24"/>
          <w:szCs w:val="24"/>
          <w:lang w:val="id-ID"/>
        </w:rPr>
      </w:pPr>
      <w:r w:rsidRPr="00E96482">
        <w:rPr>
          <w:rFonts w:asciiTheme="majorBidi" w:hAnsiTheme="majorBidi" w:cstheme="majorBidi"/>
          <w:b/>
          <w:bCs/>
          <w:sz w:val="24"/>
          <w:szCs w:val="24"/>
        </w:rPr>
        <w:t>Keywords:</w:t>
      </w:r>
      <w:r w:rsidRPr="00E96482">
        <w:rPr>
          <w:rFonts w:asciiTheme="majorBidi" w:hAnsiTheme="majorBidi" w:cstheme="majorBidi"/>
          <w:sz w:val="24"/>
          <w:szCs w:val="24"/>
        </w:rPr>
        <w:t xml:space="preserve"> True believers, al-Qur'an, </w:t>
      </w:r>
      <w:proofErr w:type="spellStart"/>
      <w:r w:rsidRPr="00E96482">
        <w:rPr>
          <w:rFonts w:asciiTheme="majorBidi" w:hAnsiTheme="majorBidi" w:cstheme="majorBidi"/>
          <w:sz w:val="24"/>
          <w:szCs w:val="24"/>
        </w:rPr>
        <w:t>Tafsir</w:t>
      </w:r>
      <w:proofErr w:type="spellEnd"/>
      <w:r w:rsidRPr="00E96482">
        <w:rPr>
          <w:rFonts w:asciiTheme="majorBidi" w:hAnsiTheme="majorBidi" w:cstheme="majorBidi"/>
          <w:sz w:val="24"/>
          <w:szCs w:val="24"/>
        </w:rPr>
        <w:t xml:space="preserve"> </w:t>
      </w:r>
      <w:proofErr w:type="spellStart"/>
      <w:r w:rsidRPr="00E96482">
        <w:rPr>
          <w:rFonts w:asciiTheme="majorBidi" w:hAnsiTheme="majorBidi" w:cstheme="majorBidi"/>
          <w:sz w:val="24"/>
          <w:szCs w:val="24"/>
        </w:rPr>
        <w:t>Jalālain</w:t>
      </w:r>
      <w:proofErr w:type="spellEnd"/>
      <w:r>
        <w:rPr>
          <w:rFonts w:asciiTheme="majorBidi" w:hAnsiTheme="majorBidi" w:cstheme="majorBidi"/>
          <w:sz w:val="24"/>
          <w:szCs w:val="24"/>
          <w:lang w:val="id-ID"/>
        </w:rPr>
        <w:t>.</w:t>
      </w:r>
    </w:p>
    <w:p w:rsidR="00E96482" w:rsidRPr="00E96482" w:rsidRDefault="00E96482" w:rsidP="00E96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
    <w:p w:rsidR="00E96482" w:rsidRDefault="00E96482" w:rsidP="0006699E">
      <w:pPr>
        <w:spacing w:after="0"/>
        <w:rPr>
          <w:rFonts w:asciiTheme="majorBidi" w:hAnsiTheme="majorBidi" w:cstheme="majorBidi"/>
          <w:b/>
          <w:bCs/>
          <w:sz w:val="24"/>
          <w:szCs w:val="24"/>
        </w:rPr>
      </w:pPr>
    </w:p>
    <w:p w:rsidR="00DF323A" w:rsidRDefault="00DF323A" w:rsidP="0006699E">
      <w:pPr>
        <w:spacing w:after="0"/>
        <w:rPr>
          <w:rFonts w:asciiTheme="majorBidi" w:hAnsiTheme="majorBidi" w:cstheme="majorBidi"/>
          <w:b/>
          <w:bCs/>
          <w:sz w:val="24"/>
          <w:szCs w:val="24"/>
        </w:rPr>
      </w:pPr>
    </w:p>
    <w:p w:rsidR="00DF323A" w:rsidRDefault="00DF323A" w:rsidP="0006699E">
      <w:pPr>
        <w:spacing w:after="0"/>
        <w:rPr>
          <w:rFonts w:asciiTheme="majorBidi" w:hAnsiTheme="majorBidi" w:cstheme="majorBidi"/>
          <w:b/>
          <w:bCs/>
          <w:sz w:val="24"/>
          <w:szCs w:val="24"/>
        </w:rPr>
      </w:pPr>
    </w:p>
    <w:p w:rsidR="00A70BB8" w:rsidRDefault="00A70BB8" w:rsidP="0006699E">
      <w:pPr>
        <w:spacing w:after="0"/>
        <w:rPr>
          <w:rFonts w:asciiTheme="majorBidi" w:hAnsiTheme="majorBidi" w:cstheme="majorBidi"/>
          <w:b/>
          <w:bCs/>
          <w:sz w:val="24"/>
          <w:szCs w:val="24"/>
        </w:rPr>
        <w:sectPr w:rsidR="00A70BB8" w:rsidSect="003E4F30">
          <w:pgSz w:w="11906" w:h="16838" w:code="9"/>
          <w:pgMar w:top="1701" w:right="1134" w:bottom="1418" w:left="1134" w:header="709" w:footer="709" w:gutter="0"/>
          <w:cols w:space="708"/>
          <w:docGrid w:linePitch="360"/>
        </w:sectPr>
      </w:pPr>
    </w:p>
    <w:p w:rsidR="0006699E" w:rsidRDefault="0006699E" w:rsidP="0006699E">
      <w:pPr>
        <w:spacing w:after="0"/>
        <w:rPr>
          <w:rFonts w:asciiTheme="majorBidi" w:hAnsiTheme="majorBidi" w:cstheme="majorBidi"/>
          <w:b/>
          <w:bCs/>
          <w:sz w:val="24"/>
          <w:szCs w:val="24"/>
        </w:rPr>
      </w:pPr>
      <w:r w:rsidRPr="0006699E">
        <w:rPr>
          <w:rFonts w:asciiTheme="majorBidi" w:hAnsiTheme="majorBidi" w:cstheme="majorBidi"/>
          <w:b/>
          <w:bCs/>
          <w:sz w:val="24"/>
          <w:szCs w:val="24"/>
        </w:rPr>
        <w:lastRenderedPageBreak/>
        <w:t>PENDAHULUAN</w:t>
      </w:r>
    </w:p>
    <w:p w:rsidR="0006699E" w:rsidRDefault="005816AE" w:rsidP="00772F51">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Islam merupakan agama yang lurus</w:t>
      </w:r>
      <w:r w:rsidR="005A7C62">
        <w:rPr>
          <w:rStyle w:val="FootnoteReference"/>
          <w:rFonts w:asciiTheme="majorBidi" w:hAnsiTheme="majorBidi" w:cstheme="majorBidi"/>
          <w:sz w:val="24"/>
          <w:szCs w:val="24"/>
        </w:rPr>
        <w:footnoteReference w:id="1"/>
      </w:r>
      <w:r>
        <w:rPr>
          <w:rFonts w:asciiTheme="majorBidi" w:hAnsiTheme="majorBidi" w:cstheme="majorBidi"/>
          <w:sz w:val="24"/>
          <w:szCs w:val="24"/>
        </w:rPr>
        <w:t xml:space="preserve">. konsep pemahaman ini memiliki pemaknaan yang cukup komprehensif. Sebagaimana dikemukakan dalam al-Qur’an bahwa Nabi Muhammad diutus menjadi seorang transmisi ajaran sekaligus sebagai </w:t>
      </w:r>
      <w:r w:rsidRPr="005A7C62">
        <w:rPr>
          <w:rFonts w:asciiTheme="majorBidi" w:hAnsiTheme="majorBidi" w:cstheme="majorBidi"/>
          <w:i/>
          <w:iCs/>
          <w:sz w:val="24"/>
          <w:szCs w:val="24"/>
        </w:rPr>
        <w:t>raḥmatan lil ‘ālamīn</w:t>
      </w:r>
      <w:r>
        <w:rPr>
          <w:rFonts w:asciiTheme="majorBidi" w:hAnsiTheme="majorBidi" w:cstheme="majorBidi"/>
          <w:sz w:val="24"/>
          <w:szCs w:val="24"/>
        </w:rPr>
        <w:t xml:space="preserve"> ( kasih sayang bagi seluruh alam), dari sebab itu bagi orang yang beriman penting kiranya saling memahami dalam hal apapun, meliputi saling memahami dalam pandangan agama, sosial, dan budaya, sebab nabi Muhammad sendiri </w:t>
      </w:r>
      <w:r w:rsidR="00F01BE8">
        <w:rPr>
          <w:rFonts w:asciiTheme="majorBidi" w:hAnsiTheme="majorBidi" w:cstheme="majorBidi"/>
          <w:sz w:val="24"/>
          <w:szCs w:val="24"/>
        </w:rPr>
        <w:t xml:space="preserve">saat hidup di Madinah telah </w:t>
      </w:r>
      <w:r>
        <w:rPr>
          <w:rFonts w:asciiTheme="majorBidi" w:hAnsiTheme="majorBidi" w:cstheme="majorBidi"/>
          <w:sz w:val="24"/>
          <w:szCs w:val="24"/>
        </w:rPr>
        <w:t xml:space="preserve">menjadi </w:t>
      </w:r>
      <w:r w:rsidR="00F01BE8">
        <w:rPr>
          <w:rFonts w:asciiTheme="majorBidi" w:hAnsiTheme="majorBidi" w:cstheme="majorBidi"/>
          <w:sz w:val="24"/>
          <w:szCs w:val="24"/>
        </w:rPr>
        <w:t xml:space="preserve">panutan dan </w:t>
      </w:r>
      <w:r>
        <w:rPr>
          <w:rFonts w:asciiTheme="majorBidi" w:hAnsiTheme="majorBidi" w:cstheme="majorBidi"/>
          <w:sz w:val="24"/>
          <w:szCs w:val="24"/>
        </w:rPr>
        <w:t xml:space="preserve">suritauladan untuk selalu </w:t>
      </w:r>
      <w:r w:rsidR="00F01BE8">
        <w:rPr>
          <w:rFonts w:asciiTheme="majorBidi" w:hAnsiTheme="majorBidi" w:cstheme="majorBidi"/>
          <w:sz w:val="24"/>
          <w:szCs w:val="24"/>
        </w:rPr>
        <w:t>bersikap dingin terhadap segala sesuatu ya</w:t>
      </w:r>
      <w:r w:rsidR="005A7C62">
        <w:rPr>
          <w:rFonts w:asciiTheme="majorBidi" w:hAnsiTheme="majorBidi" w:cstheme="majorBidi"/>
          <w:sz w:val="24"/>
          <w:szCs w:val="24"/>
        </w:rPr>
        <w:t>ng berkaitan dengan problematika</w:t>
      </w:r>
      <w:r w:rsidR="00F01BE8">
        <w:rPr>
          <w:rFonts w:asciiTheme="majorBidi" w:hAnsiTheme="majorBidi" w:cstheme="majorBidi"/>
          <w:sz w:val="24"/>
          <w:szCs w:val="24"/>
        </w:rPr>
        <w:t xml:space="preserve"> kehidupan dengan pancaran keimanan dan perilaku yang santun dan sopan.</w:t>
      </w:r>
    </w:p>
    <w:p w:rsidR="002E498C" w:rsidRDefault="002E498C" w:rsidP="005A7C62">
      <w:pPr>
        <w:spacing w:after="0" w:line="360" w:lineRule="auto"/>
        <w:jc w:val="both"/>
        <w:rPr>
          <w:rFonts w:asciiTheme="majorBidi" w:hAnsiTheme="majorBidi" w:cstheme="majorBidi"/>
          <w:sz w:val="24"/>
          <w:szCs w:val="24"/>
        </w:rPr>
      </w:pPr>
      <w:r>
        <w:rPr>
          <w:rFonts w:asciiTheme="majorBidi" w:hAnsiTheme="majorBidi" w:cstheme="majorBidi"/>
          <w:sz w:val="24"/>
          <w:szCs w:val="24"/>
        </w:rPr>
        <w:tab/>
        <w:t xml:space="preserve">Menjadi mukmin yang sebenar-benarnya atau mukmin sejati merupakan anjuran nabi Muhammad </w:t>
      </w:r>
      <w:r w:rsidR="00772F51">
        <w:rPr>
          <w:rFonts w:asciiTheme="majorBidi" w:hAnsiTheme="majorBidi" w:cstheme="majorBidi"/>
          <w:sz w:val="24"/>
          <w:szCs w:val="24"/>
        </w:rPr>
        <w:t>SAW. terhadap</w:t>
      </w:r>
      <w:r>
        <w:rPr>
          <w:rFonts w:asciiTheme="majorBidi" w:hAnsiTheme="majorBidi" w:cstheme="majorBidi"/>
          <w:sz w:val="24"/>
          <w:szCs w:val="24"/>
        </w:rPr>
        <w:t xml:space="preserve"> umatnya. </w:t>
      </w:r>
      <w:r w:rsidR="00F01BE8">
        <w:rPr>
          <w:rFonts w:asciiTheme="majorBidi" w:hAnsiTheme="majorBidi" w:cstheme="majorBidi"/>
          <w:sz w:val="24"/>
          <w:szCs w:val="24"/>
        </w:rPr>
        <w:t xml:space="preserve">Namun nabi telah wafat </w:t>
      </w:r>
      <w:r w:rsidR="00772F51">
        <w:rPr>
          <w:rFonts w:asciiTheme="majorBidi" w:hAnsiTheme="majorBidi" w:cstheme="majorBidi"/>
          <w:sz w:val="24"/>
          <w:szCs w:val="24"/>
        </w:rPr>
        <w:t>empat belas abad yang lalu. Oleh sebab itu untuk mengikuti ajaran</w:t>
      </w:r>
      <w:r w:rsidR="005A7C62">
        <w:rPr>
          <w:rFonts w:asciiTheme="majorBidi" w:hAnsiTheme="majorBidi" w:cstheme="majorBidi"/>
          <w:sz w:val="24"/>
          <w:szCs w:val="24"/>
        </w:rPr>
        <w:t xml:space="preserve"> nabi, sebagai</w:t>
      </w:r>
      <w:r w:rsidR="00772F51">
        <w:rPr>
          <w:rFonts w:asciiTheme="majorBidi" w:hAnsiTheme="majorBidi" w:cstheme="majorBidi"/>
          <w:sz w:val="24"/>
          <w:szCs w:val="24"/>
        </w:rPr>
        <w:t xml:space="preserve"> umatnya telah diberi peninggalan </w:t>
      </w:r>
      <w:r w:rsidR="005A7C62">
        <w:rPr>
          <w:rFonts w:asciiTheme="majorBidi" w:hAnsiTheme="majorBidi" w:cstheme="majorBidi"/>
          <w:sz w:val="24"/>
          <w:szCs w:val="24"/>
        </w:rPr>
        <w:t xml:space="preserve">tuntunan </w:t>
      </w:r>
      <w:r w:rsidR="00772F51">
        <w:rPr>
          <w:rFonts w:asciiTheme="majorBidi" w:hAnsiTheme="majorBidi" w:cstheme="majorBidi"/>
          <w:sz w:val="24"/>
          <w:szCs w:val="24"/>
        </w:rPr>
        <w:t>berupa al-Qur’an dan Hadis</w:t>
      </w:r>
      <w:r w:rsidR="005A7C62">
        <w:rPr>
          <w:rStyle w:val="FootnoteReference"/>
          <w:rFonts w:asciiTheme="majorBidi" w:hAnsiTheme="majorBidi" w:cstheme="majorBidi"/>
          <w:sz w:val="24"/>
          <w:szCs w:val="24"/>
        </w:rPr>
        <w:footnoteReference w:id="2"/>
      </w:r>
      <w:r w:rsidR="00772F51">
        <w:rPr>
          <w:rFonts w:asciiTheme="majorBidi" w:hAnsiTheme="majorBidi" w:cstheme="majorBidi"/>
          <w:sz w:val="24"/>
          <w:szCs w:val="24"/>
        </w:rPr>
        <w:t>. Dua hal tersebut jika dikaji secara dalam maka akan terlalu luas, oleh sebab itu untuk menjadi mukmin yang sejati dalam al-</w:t>
      </w:r>
      <w:r w:rsidR="00772F51">
        <w:rPr>
          <w:rFonts w:asciiTheme="majorBidi" w:hAnsiTheme="majorBidi" w:cstheme="majorBidi"/>
          <w:sz w:val="24"/>
          <w:szCs w:val="24"/>
        </w:rPr>
        <w:lastRenderedPageBreak/>
        <w:t xml:space="preserve">Qur’an diperlukan pemahaman dari kitab tafsir, sebagai jembatan penghubung atas pemahaman dan pengetahuan yang terbatas terkait informasi keimanan nabi Muhammad SAW. </w:t>
      </w:r>
    </w:p>
    <w:p w:rsidR="00772F51" w:rsidRDefault="00772F51" w:rsidP="005A7C62">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Keimanan dan ketaqawaan </w:t>
      </w:r>
      <w:r w:rsidR="005A7C62">
        <w:rPr>
          <w:rFonts w:asciiTheme="majorBidi" w:hAnsiTheme="majorBidi" w:cstheme="majorBidi"/>
          <w:sz w:val="24"/>
          <w:szCs w:val="24"/>
        </w:rPr>
        <w:t>adalah</w:t>
      </w:r>
      <w:r>
        <w:rPr>
          <w:rFonts w:asciiTheme="majorBidi" w:hAnsiTheme="majorBidi" w:cstheme="majorBidi"/>
          <w:sz w:val="24"/>
          <w:szCs w:val="24"/>
        </w:rPr>
        <w:t xml:space="preserve"> akar dari agama Islam. Dua hal tersebut merupakan hal pokok dalam membangun pondasi spiritual agama Islam. Seseorang yang memiliki keimanan secara benar dapat meminimalisir tindakan radikalis</w:t>
      </w:r>
      <w:r w:rsidR="005A7C62">
        <w:rPr>
          <w:rStyle w:val="FootnoteReference"/>
          <w:rFonts w:asciiTheme="majorBidi" w:hAnsiTheme="majorBidi" w:cstheme="majorBidi"/>
          <w:sz w:val="24"/>
          <w:szCs w:val="24"/>
        </w:rPr>
        <w:footnoteReference w:id="3"/>
      </w:r>
      <w:r>
        <w:rPr>
          <w:rFonts w:asciiTheme="majorBidi" w:hAnsiTheme="majorBidi" w:cstheme="majorBidi"/>
          <w:sz w:val="24"/>
          <w:szCs w:val="24"/>
        </w:rPr>
        <w:t>. Tidak dapat dipungkiri bahwa konsep keimanan belakangan ini telah diwarnai dengan tindakan radikalisasi yang ujungnya adalah aksi terorisme yang menjadi momok di masyarakat secara umum. Pentingnya menyoal bagaimana perilaku semestinya seorang mukmin (orang yang beriman) terhadap perilaku sesama personal individual maupun kelompok, sebab perilaku seorang mukmin dipengaruhi atas lingkungan sosial yang melatarbelakanginya.</w:t>
      </w:r>
    </w:p>
    <w:p w:rsidR="00772F51" w:rsidRDefault="00D7714A" w:rsidP="006856AD">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Seorang mukmin dapat memiliki </w:t>
      </w:r>
      <w:r w:rsidR="005A7C62">
        <w:rPr>
          <w:rFonts w:asciiTheme="majorBidi" w:hAnsiTheme="majorBidi" w:cstheme="majorBidi"/>
          <w:sz w:val="24"/>
          <w:szCs w:val="24"/>
        </w:rPr>
        <w:t xml:space="preserve">perilaku kehidupan/ </w:t>
      </w:r>
      <w:r>
        <w:rPr>
          <w:rFonts w:asciiTheme="majorBidi" w:hAnsiTheme="majorBidi" w:cstheme="majorBidi"/>
          <w:sz w:val="24"/>
          <w:szCs w:val="24"/>
        </w:rPr>
        <w:t>amal yan</w:t>
      </w:r>
      <w:r w:rsidR="005A7C62">
        <w:rPr>
          <w:rFonts w:asciiTheme="majorBidi" w:hAnsiTheme="majorBidi" w:cstheme="majorBidi"/>
          <w:sz w:val="24"/>
          <w:szCs w:val="24"/>
        </w:rPr>
        <w:t>g</w:t>
      </w:r>
      <w:r>
        <w:rPr>
          <w:rFonts w:asciiTheme="majorBidi" w:hAnsiTheme="majorBidi" w:cstheme="majorBidi"/>
          <w:sz w:val="24"/>
          <w:szCs w:val="24"/>
        </w:rPr>
        <w:t xml:space="preserve"> beragam. </w:t>
      </w:r>
      <w:r w:rsidR="00772F51">
        <w:rPr>
          <w:rFonts w:asciiTheme="majorBidi" w:hAnsiTheme="majorBidi" w:cstheme="majorBidi"/>
          <w:sz w:val="24"/>
          <w:szCs w:val="24"/>
        </w:rPr>
        <w:t>Tidak dapat dipungkiri bahwa sikap seseorang mukmin memiliki dinamika dan paradigma.</w:t>
      </w:r>
      <w:r>
        <w:rPr>
          <w:rFonts w:asciiTheme="majorBidi" w:hAnsiTheme="majorBidi" w:cstheme="majorBidi"/>
          <w:sz w:val="24"/>
          <w:szCs w:val="24"/>
        </w:rPr>
        <w:t xml:space="preserve"> Sebab dinamika dan paradigma seorang mukmin dipengaruhi atas kondisi sosial, politik, budaya yang melatarbelakanginya</w:t>
      </w:r>
      <w:r w:rsidR="006856AD">
        <w:rPr>
          <w:rFonts w:asciiTheme="majorBidi" w:hAnsiTheme="majorBidi" w:cstheme="majorBidi"/>
          <w:sz w:val="24"/>
          <w:szCs w:val="24"/>
        </w:rPr>
        <w:t xml:space="preserve"> </w:t>
      </w:r>
      <w:r w:rsidR="006856AD">
        <w:rPr>
          <w:rFonts w:asciiTheme="majorBidi" w:hAnsiTheme="majorBidi" w:cstheme="majorBidi"/>
          <w:sz w:val="24"/>
          <w:szCs w:val="24"/>
        </w:rPr>
        <w:lastRenderedPageBreak/>
        <w:t>menjadi insān kāmil (manusia sempurna)</w:t>
      </w:r>
      <w:r w:rsidR="006856AD">
        <w:rPr>
          <w:rStyle w:val="FootnoteReference"/>
          <w:rFonts w:asciiTheme="majorBidi" w:hAnsiTheme="majorBidi" w:cstheme="majorBidi"/>
          <w:sz w:val="24"/>
          <w:szCs w:val="24"/>
        </w:rPr>
        <w:footnoteReference w:id="4"/>
      </w:r>
      <w:r w:rsidRPr="006856AD">
        <w:rPr>
          <w:rFonts w:asciiTheme="majorBidi" w:hAnsiTheme="majorBidi" w:cstheme="majorBidi"/>
          <w:i/>
          <w:iCs/>
          <w:sz w:val="24"/>
          <w:szCs w:val="24"/>
        </w:rPr>
        <w:t>.</w:t>
      </w:r>
      <w:r>
        <w:rPr>
          <w:rFonts w:asciiTheme="majorBidi" w:hAnsiTheme="majorBidi" w:cstheme="majorBidi"/>
          <w:sz w:val="24"/>
          <w:szCs w:val="24"/>
        </w:rPr>
        <w:t xml:space="preserve"> Seseorang yang berada dalam kawasan pedesaan biasanya memiliki keimanan yang cenderung mengedepankan sikap sosial kemasyarakatan, begitu juga halnya seorang mukmin yang tinggal diperkotaan akan memiliki ciri khas cenderung individual, selain itu sebab utama perbedaan dan keragaman orang mukmin sangat dipengaruhi wawasan yang dimilikinya</w:t>
      </w:r>
      <w:r w:rsidR="00530F03">
        <w:rPr>
          <w:rFonts w:asciiTheme="majorBidi" w:hAnsiTheme="majorBidi" w:cstheme="majorBidi"/>
          <w:sz w:val="24"/>
          <w:szCs w:val="24"/>
        </w:rPr>
        <w:t>. D</w:t>
      </w:r>
      <w:r>
        <w:rPr>
          <w:rFonts w:asciiTheme="majorBidi" w:hAnsiTheme="majorBidi" w:cstheme="majorBidi"/>
          <w:sz w:val="24"/>
          <w:szCs w:val="24"/>
        </w:rPr>
        <w:t xml:space="preserve">apat dilihat orang yang memiliki </w:t>
      </w:r>
      <w:r>
        <w:rPr>
          <w:rFonts w:asciiTheme="majorBidi" w:hAnsiTheme="majorBidi" w:cstheme="majorBidi"/>
          <w:i/>
          <w:iCs/>
          <w:sz w:val="24"/>
          <w:szCs w:val="24"/>
        </w:rPr>
        <w:t>knowledge</w:t>
      </w:r>
      <w:r>
        <w:rPr>
          <w:rFonts w:asciiTheme="majorBidi" w:hAnsiTheme="majorBidi" w:cstheme="majorBidi"/>
          <w:sz w:val="24"/>
          <w:szCs w:val="24"/>
        </w:rPr>
        <w:t xml:space="preserve"> yang memadai akan bersikap </w:t>
      </w:r>
      <w:r>
        <w:rPr>
          <w:rFonts w:asciiTheme="majorBidi" w:hAnsiTheme="majorBidi" w:cstheme="majorBidi"/>
          <w:i/>
          <w:iCs/>
          <w:sz w:val="24"/>
          <w:szCs w:val="24"/>
        </w:rPr>
        <w:t xml:space="preserve">open </w:t>
      </w:r>
      <w:r w:rsidRPr="00D7714A">
        <w:rPr>
          <w:rFonts w:asciiTheme="majorBidi" w:hAnsiTheme="majorBidi" w:cstheme="majorBidi"/>
          <w:i/>
          <w:iCs/>
          <w:sz w:val="24"/>
          <w:szCs w:val="24"/>
        </w:rPr>
        <w:t>mi</w:t>
      </w:r>
      <w:r>
        <w:rPr>
          <w:rFonts w:asciiTheme="majorBidi" w:hAnsiTheme="majorBidi" w:cstheme="majorBidi"/>
          <w:i/>
          <w:iCs/>
          <w:sz w:val="24"/>
          <w:szCs w:val="24"/>
        </w:rPr>
        <w:t>n</w:t>
      </w:r>
      <w:r w:rsidRPr="00D7714A">
        <w:rPr>
          <w:rFonts w:asciiTheme="majorBidi" w:hAnsiTheme="majorBidi" w:cstheme="majorBidi"/>
          <w:i/>
          <w:iCs/>
          <w:sz w:val="24"/>
          <w:szCs w:val="24"/>
        </w:rPr>
        <w:t>ded</w:t>
      </w:r>
      <w:r>
        <w:rPr>
          <w:rFonts w:asciiTheme="majorBidi" w:hAnsiTheme="majorBidi" w:cstheme="majorBidi"/>
          <w:i/>
          <w:iCs/>
          <w:sz w:val="24"/>
          <w:szCs w:val="24"/>
        </w:rPr>
        <w:t xml:space="preserve"> </w:t>
      </w:r>
      <w:r>
        <w:rPr>
          <w:rFonts w:asciiTheme="majorBidi" w:hAnsiTheme="majorBidi" w:cstheme="majorBidi"/>
          <w:sz w:val="24"/>
          <w:szCs w:val="24"/>
        </w:rPr>
        <w:t>(</w:t>
      </w:r>
      <w:r w:rsidR="00FF1298">
        <w:rPr>
          <w:rFonts w:asciiTheme="majorBidi" w:hAnsiTheme="majorBidi" w:cstheme="majorBidi"/>
          <w:sz w:val="24"/>
          <w:szCs w:val="24"/>
        </w:rPr>
        <w:t>pikiran terbuka), l</w:t>
      </w:r>
      <w:r w:rsidRPr="00D7714A">
        <w:rPr>
          <w:rFonts w:asciiTheme="majorBidi" w:hAnsiTheme="majorBidi" w:cstheme="majorBidi"/>
          <w:sz w:val="24"/>
          <w:szCs w:val="24"/>
        </w:rPr>
        <w:t>ebih</w:t>
      </w:r>
      <w:r>
        <w:rPr>
          <w:rFonts w:asciiTheme="majorBidi" w:hAnsiTheme="majorBidi" w:cstheme="majorBidi"/>
          <w:sz w:val="24"/>
          <w:szCs w:val="24"/>
        </w:rPr>
        <w:t xml:space="preserve"> toleransi dan bijak dalam menghadapi persoalan yang semakin kompleks, sedangkan orang yang </w:t>
      </w:r>
      <w:r w:rsidR="00FF1298">
        <w:rPr>
          <w:rFonts w:asciiTheme="majorBidi" w:hAnsiTheme="majorBidi" w:cstheme="majorBidi"/>
          <w:sz w:val="24"/>
          <w:szCs w:val="24"/>
        </w:rPr>
        <w:t xml:space="preserve">wawasan keagamaannya rendah akan bersifat </w:t>
      </w:r>
      <w:r w:rsidR="00FF1298">
        <w:rPr>
          <w:rFonts w:asciiTheme="majorBidi" w:hAnsiTheme="majorBidi" w:cstheme="majorBidi"/>
          <w:i/>
          <w:iCs/>
          <w:sz w:val="24"/>
          <w:szCs w:val="24"/>
        </w:rPr>
        <w:t xml:space="preserve">truth claim </w:t>
      </w:r>
      <w:r w:rsidR="00FF1298">
        <w:rPr>
          <w:rFonts w:asciiTheme="majorBidi" w:hAnsiTheme="majorBidi" w:cstheme="majorBidi"/>
          <w:sz w:val="24"/>
          <w:szCs w:val="24"/>
        </w:rPr>
        <w:t>(</w:t>
      </w:r>
      <w:r>
        <w:rPr>
          <w:rFonts w:asciiTheme="majorBidi" w:hAnsiTheme="majorBidi" w:cstheme="majorBidi"/>
          <w:sz w:val="24"/>
          <w:szCs w:val="24"/>
        </w:rPr>
        <w:t>hanya meyakini satu</w:t>
      </w:r>
      <w:r w:rsidR="00FF1298">
        <w:rPr>
          <w:rFonts w:asciiTheme="majorBidi" w:hAnsiTheme="majorBidi" w:cstheme="majorBidi"/>
          <w:sz w:val="24"/>
          <w:szCs w:val="24"/>
        </w:rPr>
        <w:t xml:space="preserve"> pendapat dan tidak menerima pendapat lain) yang berdapak pada sifat intoleran</w:t>
      </w:r>
      <w:r w:rsidR="000250B9">
        <w:rPr>
          <w:rStyle w:val="FootnoteReference"/>
          <w:rFonts w:asciiTheme="majorBidi" w:hAnsiTheme="majorBidi" w:cstheme="majorBidi"/>
          <w:sz w:val="24"/>
          <w:szCs w:val="24"/>
        </w:rPr>
        <w:footnoteReference w:id="5"/>
      </w:r>
      <w:r w:rsidR="00FF1298">
        <w:rPr>
          <w:rFonts w:asciiTheme="majorBidi" w:hAnsiTheme="majorBidi" w:cstheme="majorBidi"/>
          <w:sz w:val="24"/>
          <w:szCs w:val="24"/>
        </w:rPr>
        <w:t>.</w:t>
      </w:r>
      <w:r>
        <w:rPr>
          <w:rFonts w:asciiTheme="majorBidi" w:hAnsiTheme="majorBidi" w:cstheme="majorBidi"/>
          <w:sz w:val="24"/>
          <w:szCs w:val="24"/>
        </w:rPr>
        <w:t xml:space="preserve"> </w:t>
      </w:r>
    </w:p>
    <w:p w:rsidR="00772F51" w:rsidRPr="008F1495" w:rsidRDefault="00772F51" w:rsidP="001C4CD7">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Dewasa in</w:t>
      </w:r>
      <w:r w:rsidR="00FF1298">
        <w:rPr>
          <w:rFonts w:asciiTheme="majorBidi" w:hAnsiTheme="majorBidi" w:cstheme="majorBidi"/>
          <w:sz w:val="24"/>
          <w:szCs w:val="24"/>
        </w:rPr>
        <w:t xml:space="preserve">i muncul seseorang mukmin </w:t>
      </w:r>
      <w:r>
        <w:rPr>
          <w:rFonts w:asciiTheme="majorBidi" w:hAnsiTheme="majorBidi" w:cstheme="majorBidi"/>
          <w:sz w:val="24"/>
          <w:szCs w:val="24"/>
        </w:rPr>
        <w:t>arogan.</w:t>
      </w:r>
      <w:r w:rsidR="00FF1298">
        <w:rPr>
          <w:rFonts w:asciiTheme="majorBidi" w:hAnsiTheme="majorBidi" w:cstheme="majorBidi"/>
          <w:sz w:val="24"/>
          <w:szCs w:val="24"/>
        </w:rPr>
        <w:t xml:space="preserve"> Fenomena semacam ini telah muncul bahkan sejak dimasa shahabat </w:t>
      </w:r>
      <w:r w:rsidR="00FF1298" w:rsidRPr="00FF1298">
        <w:rPr>
          <w:rFonts w:asciiTheme="majorBidi" w:hAnsiTheme="majorBidi" w:cstheme="majorBidi"/>
          <w:i/>
          <w:iCs/>
          <w:sz w:val="24"/>
          <w:szCs w:val="24"/>
        </w:rPr>
        <w:t>khulafāurrasyidin.</w:t>
      </w:r>
      <w:r w:rsidR="00FF1298">
        <w:rPr>
          <w:rFonts w:asciiTheme="majorBidi" w:hAnsiTheme="majorBidi" w:cstheme="majorBidi"/>
          <w:sz w:val="24"/>
          <w:szCs w:val="24"/>
        </w:rPr>
        <w:t xml:space="preserve"> Jika ditarik dalam sejarah orang yang membunuh sahabat </w:t>
      </w:r>
      <w:r w:rsidR="00260096">
        <w:rPr>
          <w:rFonts w:asciiTheme="majorBidi" w:hAnsiTheme="majorBidi" w:cstheme="majorBidi"/>
          <w:sz w:val="24"/>
          <w:szCs w:val="24"/>
        </w:rPr>
        <w:t>‘</w:t>
      </w:r>
      <w:r w:rsidR="00FF1298">
        <w:rPr>
          <w:rFonts w:asciiTheme="majorBidi" w:hAnsiTheme="majorBidi" w:cstheme="majorBidi"/>
          <w:sz w:val="24"/>
          <w:szCs w:val="24"/>
        </w:rPr>
        <w:t xml:space="preserve">Ali Ibn Abi Ṭalib </w:t>
      </w:r>
      <w:r w:rsidR="00FF1298">
        <w:rPr>
          <w:rFonts w:asciiTheme="majorBidi" w:hAnsiTheme="majorBidi" w:cstheme="majorBidi"/>
          <w:i/>
          <w:iCs/>
          <w:sz w:val="24"/>
          <w:szCs w:val="24"/>
        </w:rPr>
        <w:t>karramallahu wajha</w:t>
      </w:r>
      <w:r w:rsidR="00FF1298">
        <w:rPr>
          <w:rFonts w:asciiTheme="majorBidi" w:hAnsiTheme="majorBidi" w:cstheme="majorBidi"/>
          <w:sz w:val="24"/>
          <w:szCs w:val="24"/>
        </w:rPr>
        <w:t xml:space="preserve"> merupakan sosok yang seharusnya memiliki</w:t>
      </w:r>
      <w:r w:rsidR="00260096">
        <w:rPr>
          <w:rFonts w:asciiTheme="majorBidi" w:hAnsiTheme="majorBidi" w:cstheme="majorBidi"/>
          <w:sz w:val="24"/>
          <w:szCs w:val="24"/>
        </w:rPr>
        <w:t xml:space="preserve"> kualitas keimanan yang tinggi</w:t>
      </w:r>
      <w:r w:rsidR="00260096">
        <w:rPr>
          <w:rFonts w:asciiTheme="majorBidi" w:hAnsiTheme="majorBidi" w:cstheme="majorBidi"/>
          <w:sz w:val="24"/>
          <w:szCs w:val="24"/>
        </w:rPr>
        <w:softHyphen/>
      </w:r>
      <w:r w:rsidR="00260096">
        <w:rPr>
          <w:rFonts w:asciiTheme="majorBidi" w:hAnsiTheme="majorBidi" w:cstheme="majorBidi"/>
          <w:sz w:val="24"/>
          <w:szCs w:val="24"/>
        </w:rPr>
        <w:softHyphen/>
        <w:t xml:space="preserve"> - betapa tidak membuat takjub- </w:t>
      </w:r>
      <w:r w:rsidR="00FF1298">
        <w:rPr>
          <w:rFonts w:asciiTheme="majorBidi" w:hAnsiTheme="majorBidi" w:cstheme="majorBidi"/>
          <w:sz w:val="24"/>
          <w:szCs w:val="24"/>
        </w:rPr>
        <w:t xml:space="preserve">sosok yang yang menikam sahabat </w:t>
      </w:r>
      <w:r w:rsidR="00260096">
        <w:rPr>
          <w:rFonts w:asciiTheme="majorBidi" w:hAnsiTheme="majorBidi" w:cstheme="majorBidi"/>
          <w:sz w:val="24"/>
          <w:szCs w:val="24"/>
        </w:rPr>
        <w:t>‘</w:t>
      </w:r>
      <w:r w:rsidR="00FF1298">
        <w:rPr>
          <w:rFonts w:asciiTheme="majorBidi" w:hAnsiTheme="majorBidi" w:cstheme="majorBidi"/>
          <w:sz w:val="24"/>
          <w:szCs w:val="24"/>
        </w:rPr>
        <w:t>Ali ibn Ṭalib</w:t>
      </w:r>
      <w:r w:rsidR="00260096">
        <w:rPr>
          <w:rFonts w:asciiTheme="majorBidi" w:hAnsiTheme="majorBidi" w:cstheme="majorBidi"/>
          <w:sz w:val="24"/>
          <w:szCs w:val="24"/>
        </w:rPr>
        <w:t xml:space="preserve"> </w:t>
      </w:r>
      <w:r w:rsidR="008F1495">
        <w:rPr>
          <w:rFonts w:asciiTheme="majorBidi" w:hAnsiTheme="majorBidi" w:cstheme="majorBidi"/>
          <w:sz w:val="24"/>
          <w:szCs w:val="24"/>
        </w:rPr>
        <w:t xml:space="preserve">adalah </w:t>
      </w:r>
      <w:r w:rsidR="005A7C62" w:rsidRPr="005A7C62">
        <w:rPr>
          <w:rFonts w:asciiTheme="majorBidi" w:hAnsiTheme="majorBidi" w:cstheme="majorBidi"/>
          <w:sz w:val="24"/>
          <w:szCs w:val="24"/>
        </w:rPr>
        <w:t>‘</w:t>
      </w:r>
      <w:r w:rsidR="008F1495" w:rsidRPr="005A7C62">
        <w:rPr>
          <w:rFonts w:asciiTheme="majorBidi" w:hAnsiTheme="majorBidi" w:cstheme="majorBidi"/>
          <w:sz w:val="24"/>
          <w:szCs w:val="24"/>
        </w:rPr>
        <w:t>Abdullah Ibn Muljam</w:t>
      </w:r>
      <w:r w:rsidR="00260096" w:rsidRPr="005A7C62">
        <w:rPr>
          <w:rFonts w:asciiTheme="majorBidi" w:hAnsiTheme="majorBidi" w:cstheme="majorBidi"/>
          <w:i/>
          <w:iCs/>
          <w:sz w:val="24"/>
          <w:szCs w:val="24"/>
        </w:rPr>
        <w:t>,</w:t>
      </w:r>
      <w:r w:rsidR="00FF1298">
        <w:rPr>
          <w:rFonts w:asciiTheme="majorBidi" w:hAnsiTheme="majorBidi" w:cstheme="majorBidi"/>
          <w:sz w:val="24"/>
          <w:szCs w:val="24"/>
        </w:rPr>
        <w:t xml:space="preserve"> </w:t>
      </w:r>
      <w:r w:rsidR="008F1495">
        <w:rPr>
          <w:rFonts w:asciiTheme="majorBidi" w:hAnsiTheme="majorBidi" w:cstheme="majorBidi"/>
          <w:sz w:val="24"/>
          <w:szCs w:val="24"/>
        </w:rPr>
        <w:t xml:space="preserve">beliau </w:t>
      </w:r>
      <w:r w:rsidR="00FF1298">
        <w:rPr>
          <w:rFonts w:asciiTheme="majorBidi" w:hAnsiTheme="majorBidi" w:cstheme="majorBidi"/>
          <w:sz w:val="24"/>
          <w:szCs w:val="24"/>
        </w:rPr>
        <w:lastRenderedPageBreak/>
        <w:t>merupakan</w:t>
      </w:r>
      <w:r w:rsidR="008F1495">
        <w:rPr>
          <w:rFonts w:asciiTheme="majorBidi" w:hAnsiTheme="majorBidi" w:cstheme="majorBidi"/>
          <w:sz w:val="24"/>
          <w:szCs w:val="24"/>
        </w:rPr>
        <w:t xml:space="preserve"> orang</w:t>
      </w:r>
      <w:r w:rsidR="00260096">
        <w:rPr>
          <w:rFonts w:asciiTheme="majorBidi" w:hAnsiTheme="majorBidi" w:cstheme="majorBidi"/>
          <w:sz w:val="24"/>
          <w:szCs w:val="24"/>
        </w:rPr>
        <w:t xml:space="preserve"> yang</w:t>
      </w:r>
      <w:r w:rsidR="008F1495">
        <w:rPr>
          <w:rFonts w:asciiTheme="majorBidi" w:hAnsiTheme="majorBidi" w:cstheme="majorBidi"/>
          <w:sz w:val="24"/>
          <w:szCs w:val="24"/>
        </w:rPr>
        <w:t xml:space="preserve"> kesehariannya</w:t>
      </w:r>
      <w:r w:rsidR="00260096">
        <w:rPr>
          <w:rFonts w:asciiTheme="majorBidi" w:hAnsiTheme="majorBidi" w:cstheme="majorBidi"/>
          <w:sz w:val="24"/>
          <w:szCs w:val="24"/>
        </w:rPr>
        <w:t xml:space="preserve"> </w:t>
      </w:r>
      <w:r w:rsidR="00260096" w:rsidRPr="00260096">
        <w:rPr>
          <w:rFonts w:asciiTheme="majorBidi" w:hAnsiTheme="majorBidi" w:cstheme="majorBidi"/>
          <w:i/>
          <w:iCs/>
          <w:sz w:val="24"/>
          <w:szCs w:val="24"/>
        </w:rPr>
        <w:t>qāimullail</w:t>
      </w:r>
      <w:r w:rsidR="00260096">
        <w:rPr>
          <w:rFonts w:asciiTheme="majorBidi" w:hAnsiTheme="majorBidi" w:cstheme="majorBidi"/>
          <w:sz w:val="24"/>
          <w:szCs w:val="24"/>
        </w:rPr>
        <w:t xml:space="preserve"> (orang yang senantiasa shalat malam), </w:t>
      </w:r>
      <w:r w:rsidR="00260096" w:rsidRPr="00260096">
        <w:rPr>
          <w:rFonts w:asciiTheme="majorBidi" w:hAnsiTheme="majorBidi" w:cstheme="majorBidi"/>
          <w:i/>
          <w:iCs/>
          <w:sz w:val="24"/>
          <w:szCs w:val="24"/>
        </w:rPr>
        <w:t xml:space="preserve">ṣāimunnahar </w:t>
      </w:r>
      <w:r w:rsidR="00260096">
        <w:rPr>
          <w:rFonts w:asciiTheme="majorBidi" w:hAnsiTheme="majorBidi" w:cstheme="majorBidi"/>
          <w:sz w:val="24"/>
          <w:szCs w:val="24"/>
        </w:rPr>
        <w:t xml:space="preserve">(orang yang senantiasa puasa disaat siang), </w:t>
      </w:r>
      <w:r w:rsidR="00260096" w:rsidRPr="00260096">
        <w:rPr>
          <w:rFonts w:asciiTheme="majorBidi" w:hAnsiTheme="majorBidi" w:cstheme="majorBidi"/>
          <w:i/>
          <w:iCs/>
          <w:sz w:val="24"/>
          <w:szCs w:val="24"/>
        </w:rPr>
        <w:t>ḥāfidzulqur’an</w:t>
      </w:r>
      <w:r w:rsidR="00260096">
        <w:rPr>
          <w:rFonts w:asciiTheme="majorBidi" w:hAnsiTheme="majorBidi" w:cstheme="majorBidi"/>
          <w:sz w:val="24"/>
          <w:szCs w:val="24"/>
        </w:rPr>
        <w:t xml:space="preserve"> (orang yang hafal al-Qur’an)</w:t>
      </w:r>
      <w:r w:rsidR="001C4CD7">
        <w:rPr>
          <w:rStyle w:val="FootnoteReference"/>
          <w:rFonts w:asciiTheme="majorBidi" w:hAnsiTheme="majorBidi" w:cstheme="majorBidi"/>
          <w:sz w:val="24"/>
          <w:szCs w:val="24"/>
        </w:rPr>
        <w:footnoteReference w:id="6"/>
      </w:r>
      <w:r w:rsidR="00260096">
        <w:rPr>
          <w:rFonts w:asciiTheme="majorBidi" w:hAnsiTheme="majorBidi" w:cstheme="majorBidi"/>
          <w:sz w:val="24"/>
          <w:szCs w:val="24"/>
        </w:rPr>
        <w:t xml:space="preserve">. Namun sebab wawasan agama yang sempit mudah </w:t>
      </w:r>
      <w:r w:rsidR="008F1495">
        <w:rPr>
          <w:rFonts w:asciiTheme="majorBidi" w:hAnsiTheme="majorBidi" w:cstheme="majorBidi"/>
          <w:sz w:val="24"/>
          <w:szCs w:val="24"/>
        </w:rPr>
        <w:t xml:space="preserve">tersulut </w:t>
      </w:r>
      <w:r w:rsidR="00260096">
        <w:rPr>
          <w:rFonts w:asciiTheme="majorBidi" w:hAnsiTheme="majorBidi" w:cstheme="majorBidi"/>
          <w:sz w:val="24"/>
          <w:szCs w:val="24"/>
        </w:rPr>
        <w:t xml:space="preserve">emosi sehingga beragama dengan menggunakan hawa nafsu sampai berujung </w:t>
      </w:r>
      <w:r w:rsidR="008F1495">
        <w:rPr>
          <w:rFonts w:asciiTheme="majorBidi" w:hAnsiTheme="majorBidi" w:cstheme="majorBidi"/>
          <w:sz w:val="24"/>
          <w:szCs w:val="24"/>
        </w:rPr>
        <w:t>menjadi</w:t>
      </w:r>
      <w:r w:rsidR="00260096">
        <w:rPr>
          <w:rFonts w:asciiTheme="majorBidi" w:hAnsiTheme="majorBidi" w:cstheme="majorBidi"/>
          <w:sz w:val="24"/>
          <w:szCs w:val="24"/>
        </w:rPr>
        <w:t xml:space="preserve"> pelaku pembunuhan sahabat ‘Ali ibn Ṭalib </w:t>
      </w:r>
      <w:r w:rsidR="008F1495">
        <w:rPr>
          <w:rFonts w:asciiTheme="majorBidi" w:hAnsiTheme="majorBidi" w:cstheme="majorBidi"/>
          <w:sz w:val="24"/>
          <w:szCs w:val="24"/>
        </w:rPr>
        <w:t xml:space="preserve">saat shalat subuh </w:t>
      </w:r>
      <w:r w:rsidR="00260096">
        <w:rPr>
          <w:rFonts w:asciiTheme="majorBidi" w:hAnsiTheme="majorBidi" w:cstheme="majorBidi"/>
          <w:sz w:val="24"/>
          <w:szCs w:val="24"/>
        </w:rPr>
        <w:t>yang dianggap salah</w:t>
      </w:r>
      <w:r w:rsidR="008F1495">
        <w:rPr>
          <w:rFonts w:asciiTheme="majorBidi" w:hAnsiTheme="majorBidi" w:cstheme="majorBidi"/>
          <w:sz w:val="24"/>
          <w:szCs w:val="24"/>
        </w:rPr>
        <w:t xml:space="preserve"> dalam menyikapi abirterase atas sahabat Mu’āwiyah dalam perang </w:t>
      </w:r>
      <w:r w:rsidR="008F1495">
        <w:rPr>
          <w:rFonts w:asciiTheme="majorBidi" w:hAnsiTheme="majorBidi" w:cstheme="majorBidi"/>
          <w:i/>
          <w:iCs/>
          <w:sz w:val="24"/>
          <w:szCs w:val="24"/>
        </w:rPr>
        <w:t xml:space="preserve">siffin, </w:t>
      </w:r>
      <w:r w:rsidR="008F1495">
        <w:rPr>
          <w:rFonts w:asciiTheme="majorBidi" w:hAnsiTheme="majorBidi" w:cstheme="majorBidi"/>
          <w:sz w:val="24"/>
          <w:szCs w:val="24"/>
        </w:rPr>
        <w:t>maka oleh sebab itu penting memahami makna mukmin dalam literatur Islam yakni al-Qur’an maupun hadis</w:t>
      </w:r>
      <w:r w:rsidR="001C4CD7">
        <w:rPr>
          <w:rStyle w:val="FootnoteReference"/>
          <w:rFonts w:asciiTheme="majorBidi" w:hAnsiTheme="majorBidi" w:cstheme="majorBidi"/>
          <w:sz w:val="24"/>
          <w:szCs w:val="24"/>
        </w:rPr>
        <w:footnoteReference w:id="7"/>
      </w:r>
      <w:r w:rsidR="008F1495">
        <w:rPr>
          <w:rFonts w:asciiTheme="majorBidi" w:hAnsiTheme="majorBidi" w:cstheme="majorBidi"/>
          <w:sz w:val="24"/>
          <w:szCs w:val="24"/>
        </w:rPr>
        <w:t>.</w:t>
      </w:r>
    </w:p>
    <w:p w:rsidR="004A33AD" w:rsidRDefault="00772F51" w:rsidP="002E0CFE">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Dalam konteks ini perlu adanya </w:t>
      </w:r>
      <w:r w:rsidR="008F1495">
        <w:rPr>
          <w:rFonts w:asciiTheme="majorBidi" w:hAnsiTheme="majorBidi" w:cstheme="majorBidi"/>
          <w:sz w:val="24"/>
          <w:szCs w:val="24"/>
        </w:rPr>
        <w:t>pemahaman</w:t>
      </w:r>
      <w:r>
        <w:rPr>
          <w:rFonts w:asciiTheme="majorBidi" w:hAnsiTheme="majorBidi" w:cstheme="majorBidi"/>
          <w:sz w:val="24"/>
          <w:szCs w:val="24"/>
        </w:rPr>
        <w:t xml:space="preserve"> keimanan</w:t>
      </w:r>
      <w:r w:rsidR="004A33AD">
        <w:rPr>
          <w:rFonts w:asciiTheme="majorBidi" w:hAnsiTheme="majorBidi" w:cstheme="majorBidi"/>
          <w:sz w:val="24"/>
          <w:szCs w:val="24"/>
        </w:rPr>
        <w:t xml:space="preserve"> sejati dalam al-Qur’an. </w:t>
      </w:r>
      <w:r w:rsidR="008F1495">
        <w:rPr>
          <w:rFonts w:asciiTheme="majorBidi" w:hAnsiTheme="majorBidi" w:cstheme="majorBidi"/>
          <w:sz w:val="24"/>
          <w:szCs w:val="24"/>
        </w:rPr>
        <w:t>Indonesia sebagai negara dengan mayoritas jumlah penganut agama Islam terbesar di dunia tentu menjadi sorotan perilaku keimanan yang diperhitungkan oleh dunia, pembelajaran katauhidan, teologi yang berada di Indonesia selalu merujuk kepada kitab tafsi</w:t>
      </w:r>
      <w:r w:rsidR="001C4CD7">
        <w:rPr>
          <w:rFonts w:asciiTheme="majorBidi" w:hAnsiTheme="majorBidi" w:cstheme="majorBidi"/>
          <w:sz w:val="24"/>
          <w:szCs w:val="24"/>
        </w:rPr>
        <w:t>r, hadis, dan kitab kuning lainn</w:t>
      </w:r>
      <w:r w:rsidR="008F1495">
        <w:rPr>
          <w:rFonts w:asciiTheme="majorBidi" w:hAnsiTheme="majorBidi" w:cstheme="majorBidi"/>
          <w:sz w:val="24"/>
          <w:szCs w:val="24"/>
        </w:rPr>
        <w:t xml:space="preserve">ya. Sebab </w:t>
      </w:r>
      <w:r w:rsidR="000250B9">
        <w:rPr>
          <w:rFonts w:asciiTheme="majorBidi" w:hAnsiTheme="majorBidi" w:cstheme="majorBidi"/>
          <w:sz w:val="24"/>
          <w:szCs w:val="24"/>
        </w:rPr>
        <w:t>pengajaran yang diw</w:t>
      </w:r>
      <w:r w:rsidR="008F1495">
        <w:rPr>
          <w:rFonts w:asciiTheme="majorBidi" w:hAnsiTheme="majorBidi" w:cstheme="majorBidi"/>
          <w:sz w:val="24"/>
          <w:szCs w:val="24"/>
        </w:rPr>
        <w:t xml:space="preserve">ariskan oleh para ulama’ Nusantara meyakini bahwa untuk mengetahui makna al-Qur’an secara komprehensif diperlukan pamahaman ilmu tafsir yang baik, </w:t>
      </w:r>
      <w:r w:rsidR="008F1495">
        <w:rPr>
          <w:rFonts w:asciiTheme="majorBidi" w:hAnsiTheme="majorBidi" w:cstheme="majorBidi"/>
          <w:sz w:val="24"/>
          <w:szCs w:val="24"/>
        </w:rPr>
        <w:lastRenderedPageBreak/>
        <w:t>sebab k</w:t>
      </w:r>
      <w:r w:rsidR="002E0CFE">
        <w:rPr>
          <w:rFonts w:asciiTheme="majorBidi" w:hAnsiTheme="majorBidi" w:cstheme="majorBidi"/>
          <w:sz w:val="24"/>
          <w:szCs w:val="24"/>
        </w:rPr>
        <w:t xml:space="preserve">itab tafsir merupakan kajian usaha untuk menyingkap dan mendiagnosa </w:t>
      </w:r>
      <w:r w:rsidR="002E0CFE">
        <w:rPr>
          <w:rFonts w:asciiTheme="majorBidi" w:hAnsiTheme="majorBidi" w:cstheme="majorBidi"/>
          <w:i/>
          <w:iCs/>
          <w:sz w:val="24"/>
          <w:szCs w:val="24"/>
        </w:rPr>
        <w:t>murā</w:t>
      </w:r>
      <w:r w:rsidR="002E0CFE" w:rsidRPr="002E0CFE">
        <w:rPr>
          <w:rFonts w:asciiTheme="majorBidi" w:hAnsiTheme="majorBidi" w:cstheme="majorBidi"/>
          <w:i/>
          <w:iCs/>
          <w:sz w:val="24"/>
          <w:szCs w:val="24"/>
        </w:rPr>
        <w:t>dullah</w:t>
      </w:r>
      <w:r w:rsidR="002E0CFE">
        <w:rPr>
          <w:rFonts w:asciiTheme="majorBidi" w:hAnsiTheme="majorBidi" w:cstheme="majorBidi"/>
          <w:sz w:val="24"/>
          <w:szCs w:val="24"/>
        </w:rPr>
        <w:t xml:space="preserve"> (kehendak Allah SWT), dengan kacamata keilmuan yang dimiliki oleh manusia.</w:t>
      </w:r>
      <w:r w:rsidR="008F1495">
        <w:rPr>
          <w:rFonts w:asciiTheme="majorBidi" w:hAnsiTheme="majorBidi" w:cstheme="majorBidi"/>
          <w:sz w:val="24"/>
          <w:szCs w:val="24"/>
        </w:rPr>
        <w:t xml:space="preserve"> </w:t>
      </w:r>
    </w:p>
    <w:p w:rsidR="00772F51" w:rsidRDefault="004A33AD" w:rsidP="00530F03">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Dalam tulisan ini</w:t>
      </w:r>
      <w:r w:rsidR="008F1495">
        <w:rPr>
          <w:rFonts w:asciiTheme="majorBidi" w:hAnsiTheme="majorBidi" w:cstheme="majorBidi"/>
          <w:sz w:val="24"/>
          <w:szCs w:val="24"/>
        </w:rPr>
        <w:t xml:space="preserve"> </w:t>
      </w:r>
      <w:r w:rsidR="002E0CFE">
        <w:rPr>
          <w:rFonts w:asciiTheme="majorBidi" w:hAnsiTheme="majorBidi" w:cstheme="majorBidi"/>
          <w:sz w:val="24"/>
          <w:szCs w:val="24"/>
        </w:rPr>
        <w:t>akan dibahas mengenai penafsiran tentang upaya menjadi mukmin sejati ayat al-Qur’an. Tafsir yang digunakan merupakan tafsir al-Jalālain. Kitab ini dipilih penulis atas beberapa pertimbangan penulis yang cukup sifnifikan. Pertama, kitab tafsir al-Jalāin merupakan kitab tafsir paling populer di bumi katulistiwa</w:t>
      </w:r>
      <w:r w:rsidR="001C4CD7">
        <w:rPr>
          <w:rStyle w:val="FootnoteReference"/>
          <w:rFonts w:asciiTheme="majorBidi" w:hAnsiTheme="majorBidi" w:cstheme="majorBidi"/>
          <w:sz w:val="24"/>
          <w:szCs w:val="24"/>
        </w:rPr>
        <w:footnoteReference w:id="8"/>
      </w:r>
      <w:r w:rsidR="002E0CFE">
        <w:rPr>
          <w:rFonts w:asciiTheme="majorBidi" w:hAnsiTheme="majorBidi" w:cstheme="majorBidi"/>
          <w:sz w:val="24"/>
          <w:szCs w:val="24"/>
        </w:rPr>
        <w:t xml:space="preserve">. Kedua, kitab tafsir al-Jalāin ditulis oleh dua ulama terkemuka pada periode klasik yang berpaham </w:t>
      </w:r>
      <w:r w:rsidR="002E0CFE" w:rsidRPr="002E0CFE">
        <w:rPr>
          <w:rFonts w:asciiTheme="majorBidi" w:hAnsiTheme="majorBidi" w:cstheme="majorBidi"/>
          <w:i/>
          <w:iCs/>
          <w:sz w:val="24"/>
          <w:szCs w:val="24"/>
        </w:rPr>
        <w:t>ahlussunnah wal jamā’</w:t>
      </w:r>
      <w:r w:rsidR="002E0CFE">
        <w:rPr>
          <w:rFonts w:asciiTheme="majorBidi" w:hAnsiTheme="majorBidi" w:cstheme="majorBidi"/>
          <w:i/>
          <w:iCs/>
          <w:sz w:val="24"/>
          <w:szCs w:val="24"/>
        </w:rPr>
        <w:t>ah</w:t>
      </w:r>
      <w:r w:rsidR="00D6099B">
        <w:rPr>
          <w:rFonts w:asciiTheme="majorBidi" w:hAnsiTheme="majorBidi" w:cstheme="majorBidi"/>
          <w:i/>
          <w:iCs/>
          <w:sz w:val="24"/>
          <w:szCs w:val="24"/>
        </w:rPr>
        <w:t xml:space="preserve">, </w:t>
      </w:r>
      <w:r w:rsidR="00D6099B">
        <w:rPr>
          <w:rFonts w:asciiTheme="majorBidi" w:hAnsiTheme="majorBidi" w:cstheme="majorBidi"/>
          <w:sz w:val="24"/>
          <w:szCs w:val="24"/>
        </w:rPr>
        <w:t xml:space="preserve">yaitu </w:t>
      </w:r>
      <w:r w:rsidR="00D6099B" w:rsidRPr="00F52530">
        <w:rPr>
          <w:rFonts w:asciiTheme="majorBidi" w:hAnsiTheme="majorBidi" w:cstheme="majorBidi"/>
          <w:sz w:val="24"/>
          <w:szCs w:val="24"/>
        </w:rPr>
        <w:t>Syaikh Jalāluddin Muhammad Ibn Ahmad al-Maḥalli (L.791-864 H./ W. 1389-1459 M.) dan Syaikh Jalaluddin Abdurraḥman Ibn Abi Bakar al-Suyuti (L. 849-911 H./ W.1445-1505 M.)</w:t>
      </w:r>
      <w:r w:rsidR="00FB1CDF">
        <w:rPr>
          <w:rStyle w:val="FootnoteReference"/>
          <w:rFonts w:asciiTheme="majorBidi" w:hAnsiTheme="majorBidi" w:cstheme="majorBidi"/>
          <w:sz w:val="24"/>
          <w:szCs w:val="24"/>
        </w:rPr>
        <w:footnoteReference w:id="9"/>
      </w:r>
      <w:r w:rsidR="001C4CD7">
        <w:rPr>
          <w:rFonts w:asciiTheme="majorBidi" w:hAnsiTheme="majorBidi" w:cstheme="majorBidi"/>
          <w:sz w:val="24"/>
          <w:szCs w:val="24"/>
        </w:rPr>
        <w:t xml:space="preserve">. </w:t>
      </w:r>
      <w:r w:rsidR="002E0CFE">
        <w:rPr>
          <w:rFonts w:asciiTheme="majorBidi" w:hAnsiTheme="majorBidi" w:cstheme="majorBidi"/>
          <w:sz w:val="24"/>
          <w:szCs w:val="24"/>
        </w:rPr>
        <w:t>Ketiga, kitab ini memiliki kekayaan informasi mengenai ḥaliyah (perilaku) nabi se</w:t>
      </w:r>
      <w:r w:rsidR="00D6099B">
        <w:rPr>
          <w:rFonts w:asciiTheme="majorBidi" w:hAnsiTheme="majorBidi" w:cstheme="majorBidi"/>
          <w:sz w:val="24"/>
          <w:szCs w:val="24"/>
        </w:rPr>
        <w:t>bab dilengkapi dengan hadis</w:t>
      </w:r>
      <w:r w:rsidR="00FB1CDF">
        <w:rPr>
          <w:rStyle w:val="FootnoteReference"/>
          <w:rFonts w:asciiTheme="majorBidi" w:hAnsiTheme="majorBidi" w:cstheme="majorBidi"/>
          <w:sz w:val="24"/>
          <w:szCs w:val="24"/>
        </w:rPr>
        <w:footnoteReference w:id="10"/>
      </w:r>
      <w:r w:rsidR="00D6099B">
        <w:rPr>
          <w:rFonts w:asciiTheme="majorBidi" w:hAnsiTheme="majorBidi" w:cstheme="majorBidi"/>
          <w:sz w:val="24"/>
          <w:szCs w:val="24"/>
        </w:rPr>
        <w:t>. Ke</w:t>
      </w:r>
      <w:r w:rsidR="00FB1CDF">
        <w:rPr>
          <w:rFonts w:asciiTheme="majorBidi" w:hAnsiTheme="majorBidi" w:cstheme="majorBidi"/>
          <w:sz w:val="24"/>
          <w:szCs w:val="24"/>
        </w:rPr>
        <w:t>empat, kitab ini merupakan maha</w:t>
      </w:r>
      <w:r w:rsidR="00D6099B">
        <w:rPr>
          <w:rFonts w:asciiTheme="majorBidi" w:hAnsiTheme="majorBidi" w:cstheme="majorBidi"/>
          <w:sz w:val="24"/>
          <w:szCs w:val="24"/>
        </w:rPr>
        <w:t xml:space="preserve">karya dua ulama dengan </w:t>
      </w:r>
      <w:r w:rsidR="00FB1CDF">
        <w:rPr>
          <w:rFonts w:asciiTheme="majorBidi" w:hAnsiTheme="majorBidi" w:cstheme="majorBidi"/>
          <w:sz w:val="24"/>
          <w:szCs w:val="24"/>
        </w:rPr>
        <w:t xml:space="preserve">paham </w:t>
      </w:r>
      <w:r w:rsidR="00D6099B">
        <w:rPr>
          <w:rFonts w:asciiTheme="majorBidi" w:hAnsiTheme="majorBidi" w:cstheme="majorBidi"/>
          <w:sz w:val="24"/>
          <w:szCs w:val="24"/>
        </w:rPr>
        <w:lastRenderedPageBreak/>
        <w:t xml:space="preserve">madzhab </w:t>
      </w:r>
      <w:r w:rsidR="00D6099B" w:rsidRPr="008E4407">
        <w:rPr>
          <w:rFonts w:asciiTheme="majorBidi" w:hAnsiTheme="majorBidi" w:cstheme="majorBidi"/>
          <w:i/>
          <w:iCs/>
          <w:sz w:val="24"/>
          <w:szCs w:val="24"/>
        </w:rPr>
        <w:t>Syafi’iyyah</w:t>
      </w:r>
      <w:r w:rsidR="00D6099B">
        <w:rPr>
          <w:rFonts w:asciiTheme="majorBidi" w:hAnsiTheme="majorBidi" w:cstheme="majorBidi"/>
          <w:sz w:val="24"/>
          <w:szCs w:val="24"/>
        </w:rPr>
        <w:t xml:space="preserve"> yang menjadi </w:t>
      </w:r>
      <w:r w:rsidR="00FB1CDF">
        <w:rPr>
          <w:rFonts w:asciiTheme="majorBidi" w:hAnsiTheme="majorBidi" w:cstheme="majorBidi"/>
          <w:sz w:val="24"/>
          <w:szCs w:val="24"/>
        </w:rPr>
        <w:t xml:space="preserve">pedoman </w:t>
      </w:r>
      <w:r w:rsidR="00FB1CDF" w:rsidRPr="00FB1CDF">
        <w:rPr>
          <w:rFonts w:asciiTheme="majorBidi" w:hAnsiTheme="majorBidi" w:cstheme="majorBidi"/>
          <w:i/>
          <w:iCs/>
          <w:sz w:val="24"/>
          <w:szCs w:val="24"/>
        </w:rPr>
        <w:t>manhaj</w:t>
      </w:r>
      <w:r w:rsidR="00FB1CDF">
        <w:rPr>
          <w:rFonts w:asciiTheme="majorBidi" w:hAnsiTheme="majorBidi" w:cstheme="majorBidi"/>
          <w:sz w:val="24"/>
          <w:szCs w:val="24"/>
        </w:rPr>
        <w:t xml:space="preserve"> </w:t>
      </w:r>
      <w:r w:rsidR="00D6099B">
        <w:rPr>
          <w:rFonts w:asciiTheme="majorBidi" w:hAnsiTheme="majorBidi" w:cstheme="majorBidi"/>
          <w:sz w:val="24"/>
          <w:szCs w:val="24"/>
        </w:rPr>
        <w:t>keberagamaan di Nusantara</w:t>
      </w:r>
      <w:r w:rsidR="00530F03">
        <w:rPr>
          <w:rStyle w:val="FootnoteReference"/>
          <w:rFonts w:asciiTheme="majorBidi" w:hAnsiTheme="majorBidi" w:cstheme="majorBidi"/>
          <w:sz w:val="24"/>
          <w:szCs w:val="24"/>
        </w:rPr>
        <w:footnoteReference w:id="11"/>
      </w:r>
      <w:r w:rsidR="00D6099B">
        <w:rPr>
          <w:rFonts w:asciiTheme="majorBidi" w:hAnsiTheme="majorBidi" w:cstheme="majorBidi"/>
          <w:sz w:val="24"/>
          <w:szCs w:val="24"/>
        </w:rPr>
        <w:t>.</w:t>
      </w:r>
    </w:p>
    <w:p w:rsidR="00857201" w:rsidRDefault="00490179" w:rsidP="008E4407">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Tulisan ini akan diulas menggunakan beberapa pendekatan dan metode. Adapun </w:t>
      </w:r>
      <w:r w:rsidR="00FB1CDF">
        <w:rPr>
          <w:rFonts w:asciiTheme="majorBidi" w:hAnsiTheme="majorBidi" w:cstheme="majorBidi"/>
          <w:sz w:val="24"/>
          <w:szCs w:val="24"/>
        </w:rPr>
        <w:t xml:space="preserve">pendekatan </w:t>
      </w:r>
      <w:r>
        <w:rPr>
          <w:rFonts w:asciiTheme="majorBidi" w:hAnsiTheme="majorBidi" w:cstheme="majorBidi"/>
          <w:sz w:val="24"/>
          <w:szCs w:val="24"/>
        </w:rPr>
        <w:t xml:space="preserve">yang digunakan adalah pendekatan normatif-sosiohistoris yaitu berusaha mengungkap sisi penjelasan dari wahyu, ditambah dengan penjelasan sosial dan sejarah yang melatar belakanginya. Penelitian ini bersifat kualitatif dengan cara meneliti kajian </w:t>
      </w:r>
      <w:r>
        <w:rPr>
          <w:rFonts w:asciiTheme="majorBidi" w:hAnsiTheme="majorBidi" w:cstheme="majorBidi"/>
          <w:i/>
          <w:iCs/>
          <w:sz w:val="24"/>
          <w:szCs w:val="24"/>
        </w:rPr>
        <w:t>library research</w:t>
      </w:r>
      <w:r>
        <w:rPr>
          <w:rFonts w:asciiTheme="majorBidi" w:hAnsiTheme="majorBidi" w:cstheme="majorBidi"/>
          <w:sz w:val="24"/>
          <w:szCs w:val="24"/>
        </w:rPr>
        <w:t xml:space="preserve"> (telaah pustaka), Adapun metode atau langkah-langkah yang digunakan adalah tafsir </w:t>
      </w:r>
      <w:r w:rsidRPr="008E4407">
        <w:rPr>
          <w:rFonts w:asciiTheme="majorBidi" w:hAnsiTheme="majorBidi" w:cstheme="majorBidi"/>
          <w:i/>
          <w:iCs/>
          <w:sz w:val="24"/>
          <w:szCs w:val="24"/>
        </w:rPr>
        <w:t>mauḍ</w:t>
      </w:r>
      <w:r w:rsidR="008E4407">
        <w:rPr>
          <w:rFonts w:asciiTheme="majorBidi" w:hAnsiTheme="majorBidi" w:cstheme="majorBidi"/>
          <w:i/>
          <w:iCs/>
          <w:sz w:val="24"/>
          <w:szCs w:val="24"/>
        </w:rPr>
        <w:t>ū</w:t>
      </w:r>
      <w:r w:rsidRPr="008E4407">
        <w:rPr>
          <w:rFonts w:asciiTheme="majorBidi" w:hAnsiTheme="majorBidi" w:cstheme="majorBidi"/>
          <w:i/>
          <w:iCs/>
          <w:sz w:val="24"/>
          <w:szCs w:val="24"/>
        </w:rPr>
        <w:t>’i</w:t>
      </w:r>
      <w:r>
        <w:rPr>
          <w:rFonts w:asciiTheme="majorBidi" w:hAnsiTheme="majorBidi" w:cstheme="majorBidi"/>
          <w:sz w:val="24"/>
          <w:szCs w:val="24"/>
        </w:rPr>
        <w:t xml:space="preserve"> (tematik)</w:t>
      </w:r>
      <w:r w:rsidR="00FB1CDF">
        <w:rPr>
          <w:rStyle w:val="FootnoteReference"/>
          <w:rFonts w:asciiTheme="majorBidi" w:hAnsiTheme="majorBidi" w:cstheme="majorBidi"/>
          <w:sz w:val="24"/>
          <w:szCs w:val="24"/>
        </w:rPr>
        <w:footnoteReference w:id="12"/>
      </w:r>
      <w:r>
        <w:rPr>
          <w:rFonts w:asciiTheme="majorBidi" w:hAnsiTheme="majorBidi" w:cstheme="majorBidi"/>
          <w:sz w:val="24"/>
          <w:szCs w:val="24"/>
        </w:rPr>
        <w:t xml:space="preserve">, dengan mengumpulkan ayat tentang mukmin dan mukmin sejati, mencari makna dalam al-Qur’an dalam tafsir jalāin, kemudian menganilisis melalui gramatical (bahasa) maupun </w:t>
      </w:r>
      <w:r>
        <w:rPr>
          <w:rFonts w:asciiTheme="majorBidi" w:hAnsiTheme="majorBidi" w:cstheme="majorBidi"/>
          <w:i/>
          <w:iCs/>
          <w:sz w:val="24"/>
          <w:szCs w:val="24"/>
        </w:rPr>
        <w:t xml:space="preserve">psycological </w:t>
      </w:r>
      <w:r>
        <w:rPr>
          <w:rFonts w:asciiTheme="majorBidi" w:hAnsiTheme="majorBidi" w:cstheme="majorBidi"/>
          <w:sz w:val="24"/>
          <w:szCs w:val="24"/>
        </w:rPr>
        <w:t>(hati nurani/ jiwa) sehingga dapat terlihat bagaimana cara menjadi mukmin sejati prespektif al-Qur’an.</w:t>
      </w:r>
    </w:p>
    <w:p w:rsidR="008E4407" w:rsidRPr="00490179" w:rsidRDefault="008E4407" w:rsidP="008E4407">
      <w:pPr>
        <w:spacing w:after="0" w:line="360" w:lineRule="auto"/>
        <w:ind w:firstLine="720"/>
        <w:jc w:val="both"/>
        <w:rPr>
          <w:rFonts w:asciiTheme="majorBidi" w:hAnsiTheme="majorBidi" w:cstheme="majorBidi"/>
          <w:sz w:val="24"/>
          <w:szCs w:val="24"/>
        </w:rPr>
      </w:pPr>
    </w:p>
    <w:p w:rsidR="003E4F30" w:rsidRDefault="0006699E" w:rsidP="0006699E">
      <w:pPr>
        <w:spacing w:after="0"/>
        <w:rPr>
          <w:rFonts w:asciiTheme="majorBidi" w:hAnsiTheme="majorBidi" w:cstheme="majorBidi"/>
          <w:b/>
          <w:bCs/>
          <w:sz w:val="24"/>
          <w:szCs w:val="24"/>
        </w:rPr>
      </w:pPr>
      <w:r>
        <w:rPr>
          <w:rFonts w:asciiTheme="majorBidi" w:hAnsiTheme="majorBidi" w:cstheme="majorBidi"/>
          <w:b/>
          <w:bCs/>
          <w:sz w:val="24"/>
          <w:szCs w:val="24"/>
        </w:rPr>
        <w:t>PEMBAHASAN</w:t>
      </w:r>
    </w:p>
    <w:p w:rsidR="0006699E" w:rsidRDefault="0006699E" w:rsidP="0006699E">
      <w:pPr>
        <w:spacing w:after="0"/>
        <w:rPr>
          <w:rFonts w:asciiTheme="majorBidi" w:hAnsiTheme="majorBidi" w:cstheme="majorBidi"/>
          <w:b/>
          <w:bCs/>
          <w:sz w:val="24"/>
          <w:szCs w:val="24"/>
        </w:rPr>
      </w:pPr>
      <w:r>
        <w:rPr>
          <w:rFonts w:asciiTheme="majorBidi" w:hAnsiTheme="majorBidi" w:cstheme="majorBidi"/>
          <w:b/>
          <w:bCs/>
          <w:sz w:val="24"/>
          <w:szCs w:val="24"/>
        </w:rPr>
        <w:t>Definisi Mukmin Sejati</w:t>
      </w:r>
    </w:p>
    <w:p w:rsidR="007F3C79" w:rsidRDefault="00614BFB" w:rsidP="00C36381">
      <w:pPr>
        <w:spacing w:after="0" w:line="360" w:lineRule="auto"/>
        <w:jc w:val="both"/>
        <w:rPr>
          <w:rFonts w:ascii="Times New Roman" w:hAnsi="Times New Roman" w:cs="Times New Roman"/>
          <w:sz w:val="24"/>
          <w:szCs w:val="24"/>
        </w:rPr>
      </w:pPr>
      <w:r>
        <w:rPr>
          <w:rFonts w:asciiTheme="majorBidi" w:hAnsiTheme="majorBidi" w:cstheme="majorBidi"/>
          <w:b/>
          <w:bCs/>
          <w:sz w:val="24"/>
          <w:szCs w:val="24"/>
        </w:rPr>
        <w:tab/>
      </w:r>
      <w:r>
        <w:rPr>
          <w:rFonts w:asciiTheme="majorBidi" w:hAnsiTheme="majorBidi" w:cstheme="majorBidi"/>
          <w:sz w:val="24"/>
          <w:szCs w:val="24"/>
        </w:rPr>
        <w:t>Definisi kata mukmin be</w:t>
      </w:r>
      <w:r w:rsidR="006E1B60">
        <w:rPr>
          <w:rFonts w:asciiTheme="majorBidi" w:hAnsiTheme="majorBidi" w:cstheme="majorBidi"/>
          <w:sz w:val="24"/>
          <w:szCs w:val="24"/>
        </w:rPr>
        <w:t>rasal dari bahasa Arab. Kata muk</w:t>
      </w:r>
      <w:r>
        <w:rPr>
          <w:rFonts w:asciiTheme="majorBidi" w:hAnsiTheme="majorBidi" w:cstheme="majorBidi"/>
          <w:sz w:val="24"/>
          <w:szCs w:val="24"/>
        </w:rPr>
        <w:t>min</w:t>
      </w:r>
      <w:r w:rsidR="006E1B60">
        <w:rPr>
          <w:rFonts w:asciiTheme="majorBidi" w:hAnsiTheme="majorBidi" w:cstheme="majorBidi"/>
          <w:sz w:val="24"/>
          <w:szCs w:val="24"/>
        </w:rPr>
        <w:t xml:space="preserve"> secara etimologi atau bahasa merupakan kalimah isim fā</w:t>
      </w:r>
      <w:r>
        <w:rPr>
          <w:rFonts w:asciiTheme="majorBidi" w:hAnsiTheme="majorBidi" w:cstheme="majorBidi"/>
          <w:sz w:val="24"/>
          <w:szCs w:val="24"/>
        </w:rPr>
        <w:t xml:space="preserve">’il dari kata </w:t>
      </w:r>
      <w:r w:rsidR="006E1B60">
        <w:rPr>
          <w:rFonts w:asciiTheme="majorBidi" w:hAnsiTheme="majorBidi" w:cstheme="majorBidi"/>
          <w:sz w:val="24"/>
          <w:szCs w:val="24"/>
        </w:rPr>
        <w:t>āmana y</w:t>
      </w:r>
      <w:r>
        <w:rPr>
          <w:rFonts w:asciiTheme="majorBidi" w:hAnsiTheme="majorBidi" w:cstheme="majorBidi"/>
          <w:sz w:val="24"/>
          <w:szCs w:val="24"/>
        </w:rPr>
        <w:t xml:space="preserve">u’minu </w:t>
      </w:r>
      <w:r w:rsidR="006E1B60">
        <w:rPr>
          <w:rFonts w:asciiTheme="majorBidi" w:hAnsiTheme="majorBidi" w:cstheme="majorBidi"/>
          <w:sz w:val="24"/>
          <w:szCs w:val="24"/>
        </w:rPr>
        <w:t>ī</w:t>
      </w:r>
      <w:r>
        <w:rPr>
          <w:rFonts w:asciiTheme="majorBidi" w:hAnsiTheme="majorBidi" w:cstheme="majorBidi"/>
          <w:sz w:val="24"/>
          <w:szCs w:val="24"/>
        </w:rPr>
        <w:t>manan</w:t>
      </w:r>
      <w:r w:rsidR="006E1B60">
        <w:rPr>
          <w:rFonts w:asciiTheme="majorBidi" w:hAnsiTheme="majorBidi" w:cstheme="majorBidi"/>
          <w:sz w:val="24"/>
          <w:szCs w:val="24"/>
        </w:rPr>
        <w:t xml:space="preserve"> yang berarti </w:t>
      </w:r>
      <w:r w:rsidR="006E1B60">
        <w:rPr>
          <w:rFonts w:asciiTheme="majorBidi" w:hAnsiTheme="majorBidi" w:cstheme="majorBidi"/>
          <w:sz w:val="24"/>
          <w:szCs w:val="24"/>
        </w:rPr>
        <w:lastRenderedPageBreak/>
        <w:t>mempercayai</w:t>
      </w:r>
      <w:r w:rsidR="006856AD">
        <w:rPr>
          <w:rStyle w:val="FootnoteReference"/>
          <w:rFonts w:asciiTheme="majorBidi" w:hAnsiTheme="majorBidi" w:cstheme="majorBidi"/>
          <w:sz w:val="24"/>
          <w:szCs w:val="24"/>
        </w:rPr>
        <w:footnoteReference w:id="13"/>
      </w:r>
      <w:r w:rsidR="006E1B60">
        <w:rPr>
          <w:rFonts w:asciiTheme="majorBidi" w:hAnsiTheme="majorBidi" w:cstheme="majorBidi"/>
          <w:sz w:val="24"/>
          <w:szCs w:val="24"/>
        </w:rPr>
        <w:t>.</w:t>
      </w:r>
      <w:r w:rsidR="00C36381">
        <w:rPr>
          <w:rFonts w:asciiTheme="majorBidi" w:hAnsiTheme="majorBidi" w:cstheme="majorBidi"/>
          <w:sz w:val="24"/>
          <w:szCs w:val="24"/>
        </w:rPr>
        <w:t xml:space="preserve"> Dalam literatur yang lebih jauh menurut Ibn Manżur</w:t>
      </w:r>
      <w:r w:rsidR="004316BF">
        <w:rPr>
          <w:rStyle w:val="FootnoteReference"/>
          <w:rFonts w:asciiTheme="majorBidi" w:hAnsiTheme="majorBidi" w:cstheme="majorBidi"/>
          <w:sz w:val="24"/>
          <w:szCs w:val="24"/>
        </w:rPr>
        <w:footnoteReference w:id="14"/>
      </w:r>
      <w:r w:rsidR="004316BF">
        <w:rPr>
          <w:rFonts w:asciiTheme="majorBidi" w:hAnsiTheme="majorBidi" w:cstheme="majorBidi"/>
          <w:sz w:val="24"/>
          <w:szCs w:val="24"/>
        </w:rPr>
        <w:t>,</w:t>
      </w:r>
      <w:r w:rsidR="00C36381">
        <w:rPr>
          <w:rFonts w:asciiTheme="majorBidi" w:hAnsiTheme="majorBidi" w:cstheme="majorBidi"/>
          <w:sz w:val="24"/>
          <w:szCs w:val="24"/>
        </w:rPr>
        <w:t xml:space="preserve"> pada masa awal Islam kata mukmin merupakan Isim Fāil dari kata āmana yang berarti membenarkan lawan kata każaba yang berarti bohong, yaitu orang yang</w:t>
      </w:r>
      <w:r w:rsidR="006E1B60">
        <w:rPr>
          <w:rFonts w:asciiTheme="majorBidi" w:hAnsiTheme="majorBidi" w:cstheme="majorBidi"/>
          <w:sz w:val="24"/>
          <w:szCs w:val="24"/>
        </w:rPr>
        <w:t xml:space="preserve"> </w:t>
      </w:r>
      <w:r w:rsidR="00C36381">
        <w:rPr>
          <w:rFonts w:asciiTheme="majorBidi" w:hAnsiTheme="majorBidi" w:cstheme="majorBidi"/>
          <w:sz w:val="24"/>
          <w:szCs w:val="24"/>
        </w:rPr>
        <w:t xml:space="preserve">membenarkan ajaran yang dibawa nabi Muhammad SAW. </w:t>
      </w:r>
      <w:r w:rsidR="006E1B60">
        <w:rPr>
          <w:rFonts w:asciiTheme="majorBidi" w:hAnsiTheme="majorBidi" w:cstheme="majorBidi"/>
          <w:sz w:val="24"/>
          <w:szCs w:val="24"/>
        </w:rPr>
        <w:t xml:space="preserve">Sedangkan dalam pengertian secara terminologi/ istilah kata mukmin berarti </w:t>
      </w:r>
      <w:r w:rsidR="006E1B60" w:rsidRPr="00B10C37">
        <w:rPr>
          <w:rFonts w:asciiTheme="majorBidi" w:hAnsiTheme="majorBidi" w:cstheme="majorBidi"/>
          <w:i/>
          <w:iCs/>
          <w:sz w:val="24"/>
          <w:szCs w:val="24"/>
        </w:rPr>
        <w:t>taṣ</w:t>
      </w:r>
      <w:r w:rsidR="006E1B60" w:rsidRPr="00B10C37">
        <w:rPr>
          <w:rFonts w:ascii="Times New Roman" w:hAnsi="Times New Roman" w:cs="Times New Roman"/>
          <w:i/>
          <w:iCs/>
          <w:sz w:val="24"/>
          <w:szCs w:val="24"/>
        </w:rPr>
        <w:t xml:space="preserve">dīq </w:t>
      </w:r>
      <w:r w:rsidR="00B10C37" w:rsidRPr="00B10C37">
        <w:rPr>
          <w:rFonts w:ascii="Times New Roman" w:hAnsi="Times New Roman" w:cs="Times New Roman"/>
          <w:i/>
          <w:iCs/>
          <w:sz w:val="24"/>
          <w:szCs w:val="24"/>
        </w:rPr>
        <w:t>bil Janān</w:t>
      </w:r>
      <w:r w:rsidR="006E1B60" w:rsidRPr="00B10C37">
        <w:rPr>
          <w:rFonts w:ascii="Times New Roman" w:hAnsi="Times New Roman" w:cs="Times New Roman"/>
          <w:i/>
          <w:iCs/>
          <w:sz w:val="24"/>
          <w:szCs w:val="24"/>
        </w:rPr>
        <w:t xml:space="preserve">, wa </w:t>
      </w:r>
      <w:r w:rsidR="00B10C37" w:rsidRPr="00B10C37">
        <w:rPr>
          <w:rFonts w:ascii="Times New Roman" w:hAnsi="Times New Roman" w:cs="Times New Roman"/>
          <w:i/>
          <w:iCs/>
          <w:sz w:val="24"/>
          <w:szCs w:val="24"/>
        </w:rPr>
        <w:t>qoulun</w:t>
      </w:r>
      <w:r w:rsidR="006E1B60" w:rsidRPr="00B10C37">
        <w:rPr>
          <w:rFonts w:ascii="Times New Roman" w:hAnsi="Times New Roman" w:cs="Times New Roman"/>
          <w:i/>
          <w:iCs/>
          <w:sz w:val="24"/>
          <w:szCs w:val="24"/>
        </w:rPr>
        <w:t xml:space="preserve"> </w:t>
      </w:r>
      <w:r w:rsidR="00B10C37" w:rsidRPr="00B10C37">
        <w:rPr>
          <w:rFonts w:ascii="Times New Roman" w:hAnsi="Times New Roman" w:cs="Times New Roman"/>
          <w:i/>
          <w:iCs/>
          <w:sz w:val="24"/>
          <w:szCs w:val="24"/>
        </w:rPr>
        <w:t>bil lisan</w:t>
      </w:r>
      <w:r w:rsidR="006E1B60" w:rsidRPr="00B10C37">
        <w:rPr>
          <w:rFonts w:ascii="Times New Roman" w:hAnsi="Times New Roman" w:cs="Times New Roman"/>
          <w:i/>
          <w:iCs/>
          <w:sz w:val="24"/>
          <w:szCs w:val="24"/>
        </w:rPr>
        <w:t>, wa amalun bil arkān</w:t>
      </w:r>
      <w:r w:rsidR="00B10C37">
        <w:rPr>
          <w:rFonts w:asciiTheme="majorBidi" w:hAnsiTheme="majorBidi" w:cstheme="majorBidi"/>
          <w:sz w:val="24"/>
          <w:szCs w:val="24"/>
        </w:rPr>
        <w:t xml:space="preserve"> dalam literatur lain disebutkan dengan </w:t>
      </w:r>
      <w:r w:rsidR="00B10C37" w:rsidRPr="00B10C37">
        <w:rPr>
          <w:rFonts w:asciiTheme="majorBidi" w:hAnsiTheme="majorBidi" w:cstheme="majorBidi"/>
          <w:i/>
          <w:iCs/>
          <w:sz w:val="24"/>
          <w:szCs w:val="24"/>
        </w:rPr>
        <w:t>taṣ</w:t>
      </w:r>
      <w:r w:rsidR="00B10C37" w:rsidRPr="00B10C37">
        <w:rPr>
          <w:rFonts w:ascii="Times New Roman" w:hAnsi="Times New Roman" w:cs="Times New Roman"/>
          <w:i/>
          <w:iCs/>
          <w:sz w:val="24"/>
          <w:szCs w:val="24"/>
        </w:rPr>
        <w:t>ḍīq bil qalbi, wa qoulun bil lisān, wa ‘amalun bil jawāriḥi,</w:t>
      </w:r>
      <w:r w:rsidR="00B10C37">
        <w:rPr>
          <w:rFonts w:ascii="Times New Roman" w:hAnsi="Times New Roman" w:cs="Times New Roman"/>
          <w:sz w:val="24"/>
          <w:szCs w:val="24"/>
        </w:rPr>
        <w:t xml:space="preserve"> yaitu membenarkan dalam hati mengucapkan dengan perkataan, dan menjalankan dengan anggota badan</w:t>
      </w:r>
      <w:r w:rsidR="006856AD">
        <w:rPr>
          <w:rStyle w:val="FootnoteReference"/>
          <w:rFonts w:ascii="Times New Roman" w:hAnsi="Times New Roman" w:cs="Times New Roman"/>
          <w:sz w:val="24"/>
          <w:szCs w:val="24"/>
        </w:rPr>
        <w:footnoteReference w:id="15"/>
      </w:r>
      <w:r w:rsidR="00B10C37">
        <w:rPr>
          <w:rFonts w:ascii="Times New Roman" w:hAnsi="Times New Roman" w:cs="Times New Roman"/>
          <w:sz w:val="24"/>
          <w:szCs w:val="24"/>
        </w:rPr>
        <w:t xml:space="preserve">. </w:t>
      </w:r>
    </w:p>
    <w:p w:rsidR="00857201" w:rsidRDefault="00B10C37" w:rsidP="007F3C7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hadis nabi juga disebutkan bahwa  iman itu memiliki enam rukun iman yang harus dipenuhi untuk menjadi seseorang yang sah keimanannya, yaitu percaya kepada Allah, Malaikat, kitab yang diturunkan, nabi dan rasul, hari akhir, </w:t>
      </w:r>
      <w:r w:rsidR="003B6AD7">
        <w:rPr>
          <w:rFonts w:ascii="Times New Roman" w:hAnsi="Times New Roman" w:cs="Times New Roman"/>
          <w:sz w:val="24"/>
          <w:szCs w:val="24"/>
        </w:rPr>
        <w:t>qada’ dan qadarnya Allah</w:t>
      </w:r>
      <w:r w:rsidR="007F3C79">
        <w:rPr>
          <w:rFonts w:ascii="Times New Roman" w:hAnsi="Times New Roman" w:cs="Times New Roman"/>
          <w:sz w:val="24"/>
          <w:szCs w:val="24"/>
        </w:rPr>
        <w:t xml:space="preserve"> SWT seperti halnya yang tertera dalam </w:t>
      </w:r>
      <w:r w:rsidR="007F3C79" w:rsidRPr="007F3C79">
        <w:rPr>
          <w:rFonts w:ascii="Times New Roman" w:hAnsi="Times New Roman" w:cs="Times New Roman"/>
          <w:i/>
          <w:iCs/>
          <w:sz w:val="24"/>
          <w:szCs w:val="24"/>
        </w:rPr>
        <w:t xml:space="preserve">hadis </w:t>
      </w:r>
      <w:r w:rsidR="007F3C79">
        <w:rPr>
          <w:rFonts w:ascii="Times New Roman" w:hAnsi="Times New Roman" w:cs="Times New Roman"/>
          <w:i/>
          <w:iCs/>
          <w:sz w:val="24"/>
          <w:szCs w:val="24"/>
        </w:rPr>
        <w:t>ṣ</w:t>
      </w:r>
      <w:r w:rsidR="007F3C79" w:rsidRPr="007F3C79">
        <w:rPr>
          <w:rFonts w:ascii="Times New Roman" w:hAnsi="Times New Roman" w:cs="Times New Roman"/>
          <w:i/>
          <w:iCs/>
          <w:sz w:val="24"/>
          <w:szCs w:val="24"/>
        </w:rPr>
        <w:t>aḥiḥ</w:t>
      </w:r>
      <w:r w:rsidR="007F3C79">
        <w:rPr>
          <w:rFonts w:ascii="Times New Roman" w:hAnsi="Times New Roman" w:cs="Times New Roman"/>
          <w:sz w:val="24"/>
          <w:szCs w:val="24"/>
        </w:rPr>
        <w:t xml:space="preserve"> Muslim</w:t>
      </w:r>
      <w:r w:rsidR="007F3C79">
        <w:rPr>
          <w:rStyle w:val="FootnoteReference"/>
          <w:rFonts w:ascii="Times New Roman" w:hAnsi="Times New Roman" w:cs="Times New Roman"/>
          <w:sz w:val="24"/>
          <w:szCs w:val="24"/>
        </w:rPr>
        <w:footnoteReference w:id="16"/>
      </w:r>
      <w:r w:rsidR="003B6AD7">
        <w:rPr>
          <w:rFonts w:ascii="Times New Roman" w:hAnsi="Times New Roman" w:cs="Times New Roman"/>
          <w:sz w:val="24"/>
          <w:szCs w:val="24"/>
        </w:rPr>
        <w:t>. Pengertian tersebut merupakan makna kata iman secara umum, sedangkan makna</w:t>
      </w:r>
      <w:r>
        <w:rPr>
          <w:rFonts w:ascii="Times New Roman" w:hAnsi="Times New Roman" w:cs="Times New Roman"/>
          <w:sz w:val="24"/>
          <w:szCs w:val="24"/>
        </w:rPr>
        <w:t xml:space="preserve"> </w:t>
      </w:r>
      <w:r w:rsidR="003B6AD7">
        <w:rPr>
          <w:rFonts w:ascii="Times New Roman" w:hAnsi="Times New Roman" w:cs="Times New Roman"/>
          <w:sz w:val="24"/>
          <w:szCs w:val="24"/>
        </w:rPr>
        <w:t xml:space="preserve">mukmin merupakan orang </w:t>
      </w:r>
      <w:r w:rsidR="003B6AD7">
        <w:rPr>
          <w:rFonts w:ascii="Times New Roman" w:hAnsi="Times New Roman" w:cs="Times New Roman"/>
          <w:sz w:val="24"/>
          <w:szCs w:val="24"/>
        </w:rPr>
        <w:lastRenderedPageBreak/>
        <w:t>yang beriman, secara khusus dijelaskan dalam al-Qur’an dengan lebih luas.</w:t>
      </w:r>
      <w:r w:rsidR="006856AD">
        <w:rPr>
          <w:rFonts w:ascii="Times New Roman" w:hAnsi="Times New Roman" w:cs="Times New Roman"/>
          <w:sz w:val="24"/>
          <w:szCs w:val="24"/>
        </w:rPr>
        <w:t xml:space="preserve"> </w:t>
      </w:r>
    </w:p>
    <w:p w:rsidR="00D22151" w:rsidRPr="00D22151" w:rsidRDefault="00154724" w:rsidP="000250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36650">
        <w:rPr>
          <w:rFonts w:ascii="Times New Roman" w:hAnsi="Times New Roman" w:cs="Times New Roman"/>
          <w:sz w:val="24"/>
          <w:szCs w:val="24"/>
        </w:rPr>
        <w:t>Seacara pragmatik keimanan memiliki dinamika pemaknaan yang beragam. Dalam belajar tentang teologi Islam hal yang mendasari banyaknya cabang aliran Iman adalah adanya perbedaan tujuan, namun semua tujuan tersebut semestinya dilandasi tujuan kebaikan dan kemaslahatan bersama. Munculnya aliran Islam yang bermacam-macam merupakan bukti bahwa keimanan itu tidak berada pada ranah duniah spiritualis, melainkan juga dunia realistis. Dunia spiritualis sering dikaitkan dengan wahyu sedangkan dunia realistis berangkat dari kesadaran akal pikiran, sebagaimana yang dikemukakan oleh Harun Nasution</w:t>
      </w:r>
      <w:r w:rsidR="000250B9">
        <w:rPr>
          <w:rStyle w:val="FootnoteReference"/>
          <w:rFonts w:ascii="Times New Roman" w:hAnsi="Times New Roman" w:cs="Times New Roman"/>
          <w:sz w:val="24"/>
          <w:szCs w:val="24"/>
        </w:rPr>
        <w:footnoteReference w:id="17"/>
      </w:r>
      <w:r w:rsidR="00F36650">
        <w:rPr>
          <w:rFonts w:ascii="Times New Roman" w:hAnsi="Times New Roman" w:cs="Times New Roman"/>
          <w:sz w:val="24"/>
          <w:szCs w:val="24"/>
        </w:rPr>
        <w:t xml:space="preserve">. Oleh sebab itu penulis setidaknya telah memetakan keimanan orang Islam </w:t>
      </w:r>
      <w:r w:rsidR="000250B9">
        <w:rPr>
          <w:rFonts w:ascii="Times New Roman" w:hAnsi="Times New Roman" w:cs="Times New Roman"/>
          <w:sz w:val="24"/>
          <w:szCs w:val="24"/>
        </w:rPr>
        <w:t xml:space="preserve">dilihat dengan penggunaan epistimelogi wahyu akal dan realitas </w:t>
      </w:r>
      <w:r w:rsidR="00F36650">
        <w:rPr>
          <w:rFonts w:ascii="Times New Roman" w:hAnsi="Times New Roman" w:cs="Times New Roman"/>
          <w:sz w:val="24"/>
          <w:szCs w:val="24"/>
        </w:rPr>
        <w:t xml:space="preserve">melaui </w:t>
      </w:r>
      <w:r w:rsidR="005851D1">
        <w:rPr>
          <w:rFonts w:ascii="Times New Roman" w:hAnsi="Times New Roman" w:cs="Times New Roman"/>
          <w:sz w:val="24"/>
          <w:szCs w:val="24"/>
        </w:rPr>
        <w:t>tabel</w:t>
      </w:r>
      <w:r w:rsidR="000250B9">
        <w:rPr>
          <w:rFonts w:ascii="Times New Roman" w:hAnsi="Times New Roman" w:cs="Times New Roman"/>
          <w:sz w:val="24"/>
          <w:szCs w:val="24"/>
        </w:rPr>
        <w:t xml:space="preserve">, </w:t>
      </w:r>
      <w:r w:rsidR="00C35C78">
        <w:rPr>
          <w:rFonts w:ascii="Times New Roman" w:hAnsi="Times New Roman" w:cs="Times New Roman"/>
          <w:sz w:val="24"/>
          <w:szCs w:val="24"/>
        </w:rPr>
        <w:t>yaitu sebagai berikut:</w:t>
      </w:r>
    </w:p>
    <w:tbl>
      <w:tblPr>
        <w:tblStyle w:val="TableGrid"/>
        <w:tblW w:w="0" w:type="auto"/>
        <w:tblInd w:w="238" w:type="dxa"/>
        <w:tblLook w:val="04A0" w:firstRow="1" w:lastRow="0" w:firstColumn="1" w:lastColumn="0" w:noHBand="0" w:noVBand="1"/>
      </w:tblPr>
      <w:tblGrid>
        <w:gridCol w:w="490"/>
        <w:gridCol w:w="1310"/>
        <w:gridCol w:w="1064"/>
        <w:gridCol w:w="1579"/>
      </w:tblGrid>
      <w:tr w:rsidR="008B137B" w:rsidRPr="005851D1" w:rsidTr="005851D1">
        <w:tc>
          <w:tcPr>
            <w:tcW w:w="570" w:type="dxa"/>
          </w:tcPr>
          <w:p w:rsidR="008B137B" w:rsidRPr="005851D1" w:rsidRDefault="008B137B" w:rsidP="00C35C78">
            <w:pPr>
              <w:spacing w:line="360" w:lineRule="auto"/>
              <w:jc w:val="both"/>
              <w:rPr>
                <w:rFonts w:ascii="Times New Roman" w:hAnsi="Times New Roman" w:cs="Times New Roman"/>
                <w:b/>
                <w:bCs/>
                <w:sz w:val="24"/>
                <w:szCs w:val="24"/>
              </w:rPr>
            </w:pPr>
            <w:r w:rsidRPr="005851D1">
              <w:rPr>
                <w:rFonts w:ascii="Times New Roman" w:hAnsi="Times New Roman" w:cs="Times New Roman"/>
                <w:b/>
                <w:bCs/>
                <w:sz w:val="24"/>
                <w:szCs w:val="24"/>
              </w:rPr>
              <w:t xml:space="preserve">No. </w:t>
            </w:r>
          </w:p>
        </w:tc>
        <w:tc>
          <w:tcPr>
            <w:tcW w:w="1994" w:type="dxa"/>
          </w:tcPr>
          <w:p w:rsidR="008B137B" w:rsidRPr="005851D1" w:rsidRDefault="008B137B" w:rsidP="00C35C78">
            <w:pPr>
              <w:spacing w:line="360" w:lineRule="auto"/>
              <w:jc w:val="both"/>
              <w:rPr>
                <w:rFonts w:ascii="Times New Roman" w:hAnsi="Times New Roman" w:cs="Times New Roman"/>
                <w:b/>
                <w:bCs/>
                <w:sz w:val="24"/>
                <w:szCs w:val="24"/>
              </w:rPr>
            </w:pPr>
            <w:r w:rsidRPr="005851D1">
              <w:rPr>
                <w:rFonts w:ascii="Times New Roman" w:hAnsi="Times New Roman" w:cs="Times New Roman"/>
                <w:b/>
                <w:bCs/>
                <w:sz w:val="24"/>
                <w:szCs w:val="24"/>
              </w:rPr>
              <w:t>Nama Kelompok</w:t>
            </w:r>
          </w:p>
        </w:tc>
        <w:tc>
          <w:tcPr>
            <w:tcW w:w="3260" w:type="dxa"/>
          </w:tcPr>
          <w:p w:rsidR="008B137B" w:rsidRPr="005851D1" w:rsidRDefault="008B137B" w:rsidP="00C35C78">
            <w:pPr>
              <w:spacing w:line="360" w:lineRule="auto"/>
              <w:jc w:val="both"/>
              <w:rPr>
                <w:rFonts w:ascii="Times New Roman" w:hAnsi="Times New Roman" w:cs="Times New Roman"/>
                <w:b/>
                <w:bCs/>
                <w:sz w:val="24"/>
                <w:szCs w:val="24"/>
              </w:rPr>
            </w:pPr>
            <w:r w:rsidRPr="005851D1">
              <w:rPr>
                <w:rFonts w:ascii="Times New Roman" w:hAnsi="Times New Roman" w:cs="Times New Roman"/>
                <w:b/>
                <w:bCs/>
                <w:i/>
                <w:iCs/>
                <w:sz w:val="24"/>
                <w:szCs w:val="24"/>
              </w:rPr>
              <w:t xml:space="preserve">Manhaj </w:t>
            </w:r>
            <w:r w:rsidRPr="005851D1">
              <w:rPr>
                <w:rFonts w:ascii="Times New Roman" w:hAnsi="Times New Roman" w:cs="Times New Roman"/>
                <w:b/>
                <w:bCs/>
                <w:sz w:val="24"/>
                <w:szCs w:val="24"/>
              </w:rPr>
              <w:t>yang digunakan</w:t>
            </w:r>
          </w:p>
        </w:tc>
        <w:tc>
          <w:tcPr>
            <w:tcW w:w="3685" w:type="dxa"/>
          </w:tcPr>
          <w:p w:rsidR="008B137B" w:rsidRPr="005851D1" w:rsidRDefault="008B137B" w:rsidP="00C35C78">
            <w:pPr>
              <w:spacing w:line="360" w:lineRule="auto"/>
              <w:jc w:val="both"/>
              <w:rPr>
                <w:rFonts w:ascii="Times New Roman" w:hAnsi="Times New Roman" w:cs="Times New Roman"/>
                <w:b/>
                <w:bCs/>
                <w:sz w:val="24"/>
                <w:szCs w:val="24"/>
              </w:rPr>
            </w:pPr>
            <w:r w:rsidRPr="005851D1">
              <w:rPr>
                <w:rFonts w:ascii="Times New Roman" w:hAnsi="Times New Roman" w:cs="Times New Roman"/>
                <w:b/>
                <w:bCs/>
                <w:sz w:val="24"/>
                <w:szCs w:val="24"/>
              </w:rPr>
              <w:t xml:space="preserve">Golongan </w:t>
            </w:r>
            <w:r w:rsidR="00D22151">
              <w:rPr>
                <w:rFonts w:ascii="Times New Roman" w:hAnsi="Times New Roman" w:cs="Times New Roman"/>
                <w:b/>
                <w:bCs/>
                <w:sz w:val="24"/>
                <w:szCs w:val="24"/>
              </w:rPr>
              <w:t xml:space="preserve">yang </w:t>
            </w:r>
            <w:r w:rsidRPr="005851D1">
              <w:rPr>
                <w:rFonts w:ascii="Times New Roman" w:hAnsi="Times New Roman" w:cs="Times New Roman"/>
                <w:b/>
                <w:bCs/>
                <w:sz w:val="24"/>
                <w:szCs w:val="24"/>
              </w:rPr>
              <w:t>mengembangkan</w:t>
            </w:r>
          </w:p>
        </w:tc>
      </w:tr>
      <w:tr w:rsidR="008B137B" w:rsidTr="005851D1">
        <w:tc>
          <w:tcPr>
            <w:tcW w:w="570" w:type="dxa"/>
          </w:tcPr>
          <w:p w:rsidR="008B137B" w:rsidRDefault="008B137B" w:rsidP="00C35C78">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94" w:type="dxa"/>
          </w:tcPr>
          <w:p w:rsidR="008B137B" w:rsidRDefault="008B137B" w:rsidP="00C35C78">
            <w:pPr>
              <w:spacing w:line="360" w:lineRule="auto"/>
              <w:jc w:val="both"/>
              <w:rPr>
                <w:rFonts w:ascii="Times New Roman" w:hAnsi="Times New Roman" w:cs="Times New Roman"/>
                <w:sz w:val="24"/>
                <w:szCs w:val="24"/>
              </w:rPr>
            </w:pPr>
            <w:r>
              <w:rPr>
                <w:rFonts w:ascii="Times New Roman" w:hAnsi="Times New Roman" w:cs="Times New Roman"/>
                <w:sz w:val="24"/>
                <w:szCs w:val="24"/>
              </w:rPr>
              <w:t>Tradisionalis</w:t>
            </w:r>
          </w:p>
        </w:tc>
        <w:tc>
          <w:tcPr>
            <w:tcW w:w="3260" w:type="dxa"/>
          </w:tcPr>
          <w:p w:rsidR="008B137B" w:rsidRDefault="008B137B" w:rsidP="00C35C78">
            <w:pPr>
              <w:spacing w:line="360" w:lineRule="auto"/>
              <w:jc w:val="both"/>
              <w:rPr>
                <w:rFonts w:ascii="Times New Roman" w:hAnsi="Times New Roman" w:cs="Times New Roman"/>
                <w:sz w:val="24"/>
                <w:szCs w:val="24"/>
              </w:rPr>
            </w:pPr>
            <w:r>
              <w:rPr>
                <w:rFonts w:ascii="Times New Roman" w:hAnsi="Times New Roman" w:cs="Times New Roman"/>
                <w:sz w:val="24"/>
                <w:szCs w:val="24"/>
              </w:rPr>
              <w:t>Wahyu diatas akal</w:t>
            </w:r>
          </w:p>
        </w:tc>
        <w:tc>
          <w:tcPr>
            <w:tcW w:w="3685" w:type="dxa"/>
          </w:tcPr>
          <w:p w:rsidR="008B137B" w:rsidRDefault="005851D1" w:rsidP="00C35C78">
            <w:pPr>
              <w:spacing w:line="360" w:lineRule="auto"/>
              <w:jc w:val="both"/>
              <w:rPr>
                <w:rFonts w:ascii="Times New Roman" w:hAnsi="Times New Roman" w:cs="Times New Roman"/>
                <w:sz w:val="24"/>
                <w:szCs w:val="24"/>
              </w:rPr>
            </w:pPr>
            <w:r>
              <w:rPr>
                <w:rFonts w:ascii="Times New Roman" w:hAnsi="Times New Roman" w:cs="Times New Roman"/>
                <w:sz w:val="24"/>
                <w:szCs w:val="24"/>
              </w:rPr>
              <w:t>Ahlussunnah wal J</w:t>
            </w:r>
            <w:r w:rsidR="008B137B">
              <w:rPr>
                <w:rFonts w:ascii="Times New Roman" w:hAnsi="Times New Roman" w:cs="Times New Roman"/>
                <w:sz w:val="24"/>
                <w:szCs w:val="24"/>
              </w:rPr>
              <w:t>ama’ah</w:t>
            </w:r>
          </w:p>
        </w:tc>
      </w:tr>
      <w:tr w:rsidR="008B137B" w:rsidTr="005851D1">
        <w:tc>
          <w:tcPr>
            <w:tcW w:w="570" w:type="dxa"/>
          </w:tcPr>
          <w:p w:rsidR="008B137B" w:rsidRDefault="008B137B" w:rsidP="00C35C78">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994" w:type="dxa"/>
          </w:tcPr>
          <w:p w:rsidR="008B137B" w:rsidRDefault="008B137B" w:rsidP="00C35C78">
            <w:pPr>
              <w:spacing w:line="360" w:lineRule="auto"/>
              <w:jc w:val="both"/>
              <w:rPr>
                <w:rFonts w:ascii="Times New Roman" w:hAnsi="Times New Roman" w:cs="Times New Roman"/>
                <w:sz w:val="24"/>
                <w:szCs w:val="24"/>
              </w:rPr>
            </w:pPr>
            <w:r>
              <w:rPr>
                <w:rFonts w:ascii="Times New Roman" w:hAnsi="Times New Roman" w:cs="Times New Roman"/>
                <w:sz w:val="24"/>
                <w:szCs w:val="24"/>
              </w:rPr>
              <w:t>Rasionalis</w:t>
            </w:r>
          </w:p>
        </w:tc>
        <w:tc>
          <w:tcPr>
            <w:tcW w:w="3260" w:type="dxa"/>
          </w:tcPr>
          <w:p w:rsidR="008B137B" w:rsidRDefault="008B137B" w:rsidP="00C35C7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Akal diatas </w:t>
            </w:r>
            <w:r>
              <w:rPr>
                <w:rFonts w:ascii="Times New Roman" w:hAnsi="Times New Roman" w:cs="Times New Roman"/>
                <w:sz w:val="24"/>
                <w:szCs w:val="24"/>
              </w:rPr>
              <w:lastRenderedPageBreak/>
              <w:t>wahyu</w:t>
            </w:r>
          </w:p>
        </w:tc>
        <w:tc>
          <w:tcPr>
            <w:tcW w:w="3685" w:type="dxa"/>
          </w:tcPr>
          <w:p w:rsidR="008B137B" w:rsidRDefault="008B137B" w:rsidP="008B137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Mu’tazilah, Neo </w:t>
            </w:r>
            <w:r>
              <w:rPr>
                <w:rFonts w:ascii="Times New Roman" w:hAnsi="Times New Roman" w:cs="Times New Roman"/>
                <w:sz w:val="24"/>
                <w:szCs w:val="24"/>
              </w:rPr>
              <w:lastRenderedPageBreak/>
              <w:t>Mu’tazilah</w:t>
            </w:r>
          </w:p>
        </w:tc>
      </w:tr>
      <w:tr w:rsidR="008B137B" w:rsidTr="005851D1">
        <w:tc>
          <w:tcPr>
            <w:tcW w:w="570" w:type="dxa"/>
          </w:tcPr>
          <w:p w:rsidR="008B137B" w:rsidRDefault="008B137B" w:rsidP="00C35C7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1994" w:type="dxa"/>
          </w:tcPr>
          <w:p w:rsidR="008B137B" w:rsidRDefault="008B137B" w:rsidP="00C35C78">
            <w:pPr>
              <w:spacing w:line="360" w:lineRule="auto"/>
              <w:jc w:val="both"/>
              <w:rPr>
                <w:rFonts w:ascii="Times New Roman" w:hAnsi="Times New Roman" w:cs="Times New Roman"/>
                <w:sz w:val="24"/>
                <w:szCs w:val="24"/>
              </w:rPr>
            </w:pPr>
            <w:r>
              <w:rPr>
                <w:rFonts w:ascii="Times New Roman" w:hAnsi="Times New Roman" w:cs="Times New Roman"/>
                <w:sz w:val="24"/>
                <w:szCs w:val="24"/>
              </w:rPr>
              <w:t>Transformatif</w:t>
            </w:r>
          </w:p>
        </w:tc>
        <w:tc>
          <w:tcPr>
            <w:tcW w:w="3260" w:type="dxa"/>
          </w:tcPr>
          <w:p w:rsidR="008B137B" w:rsidRDefault="008B137B" w:rsidP="00C35C78">
            <w:pPr>
              <w:spacing w:line="360" w:lineRule="auto"/>
              <w:jc w:val="both"/>
              <w:rPr>
                <w:rFonts w:ascii="Times New Roman" w:hAnsi="Times New Roman" w:cs="Times New Roman"/>
                <w:sz w:val="24"/>
                <w:szCs w:val="24"/>
              </w:rPr>
            </w:pPr>
            <w:r>
              <w:rPr>
                <w:rFonts w:ascii="Times New Roman" w:hAnsi="Times New Roman" w:cs="Times New Roman"/>
                <w:sz w:val="24"/>
                <w:szCs w:val="24"/>
              </w:rPr>
              <w:t>Akal wahyu realitas</w:t>
            </w:r>
          </w:p>
        </w:tc>
        <w:tc>
          <w:tcPr>
            <w:tcW w:w="3685" w:type="dxa"/>
          </w:tcPr>
          <w:p w:rsidR="008B137B" w:rsidRDefault="005851D1" w:rsidP="00C35C78">
            <w:pPr>
              <w:spacing w:line="360" w:lineRule="auto"/>
              <w:jc w:val="both"/>
              <w:rPr>
                <w:rFonts w:ascii="Times New Roman" w:hAnsi="Times New Roman" w:cs="Times New Roman"/>
                <w:sz w:val="24"/>
                <w:szCs w:val="24"/>
              </w:rPr>
            </w:pPr>
            <w:r>
              <w:rPr>
                <w:rFonts w:ascii="Times New Roman" w:hAnsi="Times New Roman" w:cs="Times New Roman"/>
                <w:sz w:val="24"/>
                <w:szCs w:val="24"/>
              </w:rPr>
              <w:t>Antara Tradisional dan Rasional</w:t>
            </w:r>
          </w:p>
        </w:tc>
      </w:tr>
      <w:tr w:rsidR="008B137B" w:rsidTr="005851D1">
        <w:tc>
          <w:tcPr>
            <w:tcW w:w="570" w:type="dxa"/>
          </w:tcPr>
          <w:p w:rsidR="008B137B" w:rsidRDefault="008B137B" w:rsidP="00C35C78">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994" w:type="dxa"/>
          </w:tcPr>
          <w:p w:rsidR="008B137B" w:rsidRDefault="008B137B" w:rsidP="00C35C78">
            <w:pPr>
              <w:spacing w:line="360" w:lineRule="auto"/>
              <w:jc w:val="both"/>
              <w:rPr>
                <w:rFonts w:ascii="Times New Roman" w:hAnsi="Times New Roman" w:cs="Times New Roman"/>
                <w:sz w:val="24"/>
                <w:szCs w:val="24"/>
              </w:rPr>
            </w:pPr>
            <w:r>
              <w:rPr>
                <w:rFonts w:ascii="Times New Roman" w:hAnsi="Times New Roman" w:cs="Times New Roman"/>
                <w:sz w:val="24"/>
                <w:szCs w:val="24"/>
              </w:rPr>
              <w:t>Dogmatis</w:t>
            </w:r>
          </w:p>
        </w:tc>
        <w:tc>
          <w:tcPr>
            <w:tcW w:w="3260" w:type="dxa"/>
          </w:tcPr>
          <w:p w:rsidR="008B137B" w:rsidRDefault="005851D1" w:rsidP="00C35C78">
            <w:pPr>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008B137B">
              <w:rPr>
                <w:rFonts w:ascii="Times New Roman" w:hAnsi="Times New Roman" w:cs="Times New Roman"/>
                <w:sz w:val="24"/>
                <w:szCs w:val="24"/>
              </w:rPr>
              <w:t>ahyu</w:t>
            </w:r>
          </w:p>
        </w:tc>
        <w:tc>
          <w:tcPr>
            <w:tcW w:w="3685" w:type="dxa"/>
          </w:tcPr>
          <w:p w:rsidR="008B137B" w:rsidRDefault="008B137B" w:rsidP="00C35C78">
            <w:pPr>
              <w:spacing w:line="360" w:lineRule="auto"/>
              <w:jc w:val="both"/>
              <w:rPr>
                <w:rFonts w:ascii="Times New Roman" w:hAnsi="Times New Roman" w:cs="Times New Roman"/>
                <w:sz w:val="24"/>
                <w:szCs w:val="24"/>
              </w:rPr>
            </w:pPr>
            <w:r>
              <w:rPr>
                <w:rFonts w:ascii="Times New Roman" w:hAnsi="Times New Roman" w:cs="Times New Roman"/>
                <w:sz w:val="24"/>
                <w:szCs w:val="24"/>
              </w:rPr>
              <w:t>Salafi</w:t>
            </w:r>
            <w:r w:rsidR="005851D1">
              <w:rPr>
                <w:rFonts w:ascii="Times New Roman" w:hAnsi="Times New Roman" w:cs="Times New Roman"/>
                <w:sz w:val="24"/>
                <w:szCs w:val="24"/>
              </w:rPr>
              <w:t>-w</w:t>
            </w:r>
            <w:r>
              <w:rPr>
                <w:rFonts w:ascii="Times New Roman" w:hAnsi="Times New Roman" w:cs="Times New Roman"/>
                <w:sz w:val="24"/>
                <w:szCs w:val="24"/>
              </w:rPr>
              <w:t>ahabi</w:t>
            </w:r>
            <w:r w:rsidR="005851D1">
              <w:rPr>
                <w:rFonts w:ascii="Times New Roman" w:hAnsi="Times New Roman" w:cs="Times New Roman"/>
                <w:sz w:val="24"/>
                <w:szCs w:val="24"/>
              </w:rPr>
              <w:t>, Konservatif</w:t>
            </w:r>
          </w:p>
        </w:tc>
      </w:tr>
      <w:tr w:rsidR="008B137B" w:rsidTr="005851D1">
        <w:tc>
          <w:tcPr>
            <w:tcW w:w="570" w:type="dxa"/>
          </w:tcPr>
          <w:p w:rsidR="008B137B" w:rsidRDefault="008B137B" w:rsidP="00C35C78">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994" w:type="dxa"/>
          </w:tcPr>
          <w:p w:rsidR="008B137B" w:rsidRDefault="008B137B" w:rsidP="00C35C78">
            <w:pPr>
              <w:spacing w:line="360" w:lineRule="auto"/>
              <w:jc w:val="both"/>
              <w:rPr>
                <w:rFonts w:ascii="Times New Roman" w:hAnsi="Times New Roman" w:cs="Times New Roman"/>
                <w:sz w:val="24"/>
                <w:szCs w:val="24"/>
              </w:rPr>
            </w:pPr>
            <w:r>
              <w:rPr>
                <w:rFonts w:ascii="Times New Roman" w:hAnsi="Times New Roman" w:cs="Times New Roman"/>
                <w:sz w:val="24"/>
                <w:szCs w:val="24"/>
              </w:rPr>
              <w:t>Liberal</w:t>
            </w:r>
          </w:p>
        </w:tc>
        <w:tc>
          <w:tcPr>
            <w:tcW w:w="3260" w:type="dxa"/>
          </w:tcPr>
          <w:p w:rsidR="008B137B" w:rsidRDefault="008B137B" w:rsidP="00C35C7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Realitas </w:t>
            </w:r>
            <w:r w:rsidR="005851D1">
              <w:rPr>
                <w:rFonts w:ascii="Times New Roman" w:hAnsi="Times New Roman" w:cs="Times New Roman"/>
                <w:sz w:val="24"/>
                <w:szCs w:val="24"/>
              </w:rPr>
              <w:t xml:space="preserve">dan </w:t>
            </w:r>
            <w:r>
              <w:rPr>
                <w:rFonts w:ascii="Times New Roman" w:hAnsi="Times New Roman" w:cs="Times New Roman"/>
                <w:sz w:val="24"/>
                <w:szCs w:val="24"/>
              </w:rPr>
              <w:t>akal diatas wahyu</w:t>
            </w:r>
          </w:p>
        </w:tc>
        <w:tc>
          <w:tcPr>
            <w:tcW w:w="3685" w:type="dxa"/>
          </w:tcPr>
          <w:p w:rsidR="008B137B" w:rsidRDefault="005851D1" w:rsidP="00C35C78">
            <w:pPr>
              <w:spacing w:line="360" w:lineRule="auto"/>
              <w:jc w:val="both"/>
              <w:rPr>
                <w:rFonts w:ascii="Times New Roman" w:hAnsi="Times New Roman" w:cs="Times New Roman"/>
                <w:sz w:val="24"/>
                <w:szCs w:val="24"/>
              </w:rPr>
            </w:pPr>
            <w:r>
              <w:rPr>
                <w:rFonts w:ascii="Times New Roman" w:hAnsi="Times New Roman" w:cs="Times New Roman"/>
                <w:sz w:val="24"/>
                <w:szCs w:val="24"/>
              </w:rPr>
              <w:t>Revisionis</w:t>
            </w:r>
          </w:p>
        </w:tc>
      </w:tr>
      <w:tr w:rsidR="008B137B" w:rsidTr="005851D1">
        <w:tc>
          <w:tcPr>
            <w:tcW w:w="570" w:type="dxa"/>
          </w:tcPr>
          <w:p w:rsidR="008B137B" w:rsidRDefault="008B137B" w:rsidP="00C35C7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p>
        </w:tc>
        <w:tc>
          <w:tcPr>
            <w:tcW w:w="1994" w:type="dxa"/>
          </w:tcPr>
          <w:p w:rsidR="008B137B" w:rsidRDefault="008B137B" w:rsidP="00C35C78">
            <w:pPr>
              <w:spacing w:line="360" w:lineRule="auto"/>
              <w:jc w:val="both"/>
              <w:rPr>
                <w:rFonts w:ascii="Times New Roman" w:hAnsi="Times New Roman" w:cs="Times New Roman"/>
                <w:sz w:val="24"/>
                <w:szCs w:val="24"/>
              </w:rPr>
            </w:pPr>
            <w:r>
              <w:rPr>
                <w:rFonts w:ascii="Times New Roman" w:hAnsi="Times New Roman" w:cs="Times New Roman"/>
                <w:sz w:val="24"/>
                <w:szCs w:val="24"/>
              </w:rPr>
              <w:t>Fundamentalis</w:t>
            </w:r>
          </w:p>
        </w:tc>
        <w:tc>
          <w:tcPr>
            <w:tcW w:w="3260" w:type="dxa"/>
          </w:tcPr>
          <w:p w:rsidR="008B137B" w:rsidRDefault="008B137B" w:rsidP="005851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Wahyu realitas </w:t>
            </w:r>
            <w:r w:rsidR="005851D1">
              <w:rPr>
                <w:rFonts w:ascii="Times New Roman" w:hAnsi="Times New Roman" w:cs="Times New Roman"/>
                <w:sz w:val="24"/>
                <w:szCs w:val="24"/>
              </w:rPr>
              <w:t>tanpa</w:t>
            </w:r>
            <w:r>
              <w:rPr>
                <w:rFonts w:ascii="Times New Roman" w:hAnsi="Times New Roman" w:cs="Times New Roman"/>
                <w:sz w:val="24"/>
                <w:szCs w:val="24"/>
              </w:rPr>
              <w:t xml:space="preserve"> akal</w:t>
            </w:r>
          </w:p>
        </w:tc>
        <w:tc>
          <w:tcPr>
            <w:tcW w:w="3685" w:type="dxa"/>
          </w:tcPr>
          <w:p w:rsidR="008B137B" w:rsidRDefault="005851D1" w:rsidP="00C35C7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Syi’ah, Jabariyyah, Murji’ah </w:t>
            </w:r>
          </w:p>
        </w:tc>
      </w:tr>
      <w:tr w:rsidR="008B137B" w:rsidTr="005851D1">
        <w:tc>
          <w:tcPr>
            <w:tcW w:w="570" w:type="dxa"/>
          </w:tcPr>
          <w:p w:rsidR="008B137B" w:rsidRDefault="008B137B" w:rsidP="00C35C78">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994" w:type="dxa"/>
          </w:tcPr>
          <w:p w:rsidR="008B137B" w:rsidRDefault="008B137B" w:rsidP="00C35C7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Nihilis </w:t>
            </w:r>
          </w:p>
        </w:tc>
        <w:tc>
          <w:tcPr>
            <w:tcW w:w="3260" w:type="dxa"/>
          </w:tcPr>
          <w:p w:rsidR="008B137B" w:rsidRDefault="008B137B" w:rsidP="005851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Realitas </w:t>
            </w:r>
            <w:r w:rsidR="005851D1">
              <w:rPr>
                <w:rFonts w:ascii="Times New Roman" w:hAnsi="Times New Roman" w:cs="Times New Roman"/>
                <w:sz w:val="24"/>
                <w:szCs w:val="24"/>
              </w:rPr>
              <w:t xml:space="preserve">dan </w:t>
            </w:r>
            <w:r>
              <w:rPr>
                <w:rFonts w:ascii="Times New Roman" w:hAnsi="Times New Roman" w:cs="Times New Roman"/>
                <w:sz w:val="24"/>
                <w:szCs w:val="24"/>
              </w:rPr>
              <w:t xml:space="preserve">akal </w:t>
            </w:r>
            <w:r w:rsidR="005851D1">
              <w:rPr>
                <w:rFonts w:ascii="Times New Roman" w:hAnsi="Times New Roman" w:cs="Times New Roman"/>
                <w:sz w:val="24"/>
                <w:szCs w:val="24"/>
              </w:rPr>
              <w:t xml:space="preserve">tanpa </w:t>
            </w:r>
            <w:r>
              <w:rPr>
                <w:rFonts w:ascii="Times New Roman" w:hAnsi="Times New Roman" w:cs="Times New Roman"/>
                <w:sz w:val="24"/>
                <w:szCs w:val="24"/>
              </w:rPr>
              <w:t xml:space="preserve">wahyu </w:t>
            </w:r>
          </w:p>
        </w:tc>
        <w:tc>
          <w:tcPr>
            <w:tcW w:w="3685" w:type="dxa"/>
          </w:tcPr>
          <w:p w:rsidR="008B137B" w:rsidRDefault="008B137B" w:rsidP="00C35C78">
            <w:pPr>
              <w:spacing w:line="360" w:lineRule="auto"/>
              <w:jc w:val="both"/>
              <w:rPr>
                <w:rFonts w:ascii="Times New Roman" w:hAnsi="Times New Roman" w:cs="Times New Roman"/>
                <w:sz w:val="24"/>
                <w:szCs w:val="24"/>
              </w:rPr>
            </w:pPr>
            <w:r>
              <w:rPr>
                <w:rFonts w:ascii="Times New Roman" w:hAnsi="Times New Roman" w:cs="Times New Roman"/>
                <w:sz w:val="24"/>
                <w:szCs w:val="24"/>
              </w:rPr>
              <w:t>Sosialis</w:t>
            </w:r>
            <w:r w:rsidR="005851D1">
              <w:rPr>
                <w:rFonts w:ascii="Times New Roman" w:hAnsi="Times New Roman" w:cs="Times New Roman"/>
                <w:sz w:val="24"/>
                <w:szCs w:val="24"/>
              </w:rPr>
              <w:t>, Qadariyyah</w:t>
            </w:r>
          </w:p>
        </w:tc>
      </w:tr>
      <w:tr w:rsidR="008B137B" w:rsidTr="005851D1">
        <w:tc>
          <w:tcPr>
            <w:tcW w:w="570" w:type="dxa"/>
          </w:tcPr>
          <w:p w:rsidR="008B137B" w:rsidRDefault="008B137B" w:rsidP="00C35C78">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994" w:type="dxa"/>
          </w:tcPr>
          <w:p w:rsidR="008B137B" w:rsidRDefault="008B137B" w:rsidP="00C35C78">
            <w:pPr>
              <w:spacing w:line="360" w:lineRule="auto"/>
              <w:jc w:val="both"/>
              <w:rPr>
                <w:rFonts w:ascii="Times New Roman" w:hAnsi="Times New Roman" w:cs="Times New Roman"/>
                <w:sz w:val="24"/>
                <w:szCs w:val="24"/>
              </w:rPr>
            </w:pPr>
            <w:r>
              <w:rPr>
                <w:rFonts w:ascii="Times New Roman" w:hAnsi="Times New Roman" w:cs="Times New Roman"/>
                <w:sz w:val="24"/>
                <w:szCs w:val="24"/>
              </w:rPr>
              <w:t>Teroris</w:t>
            </w:r>
          </w:p>
        </w:tc>
        <w:tc>
          <w:tcPr>
            <w:tcW w:w="3260" w:type="dxa"/>
          </w:tcPr>
          <w:p w:rsidR="008B137B" w:rsidRDefault="008B137B" w:rsidP="005851D1">
            <w:pPr>
              <w:spacing w:line="360" w:lineRule="auto"/>
              <w:jc w:val="both"/>
              <w:rPr>
                <w:rFonts w:ascii="Times New Roman" w:hAnsi="Times New Roman" w:cs="Times New Roman"/>
                <w:sz w:val="24"/>
                <w:szCs w:val="24"/>
              </w:rPr>
            </w:pPr>
            <w:r>
              <w:rPr>
                <w:rFonts w:ascii="Times New Roman" w:hAnsi="Times New Roman" w:cs="Times New Roman"/>
                <w:sz w:val="24"/>
                <w:szCs w:val="24"/>
              </w:rPr>
              <w:t>Wahyu tanpa realitas</w:t>
            </w:r>
            <w:r w:rsidR="005851D1">
              <w:rPr>
                <w:rFonts w:ascii="Times New Roman" w:hAnsi="Times New Roman" w:cs="Times New Roman"/>
                <w:sz w:val="24"/>
                <w:szCs w:val="24"/>
              </w:rPr>
              <w:t xml:space="preserve"> dan akal</w:t>
            </w:r>
          </w:p>
        </w:tc>
        <w:tc>
          <w:tcPr>
            <w:tcW w:w="3685" w:type="dxa"/>
          </w:tcPr>
          <w:p w:rsidR="008B137B" w:rsidRDefault="005851D1" w:rsidP="005851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Khawarij, </w:t>
            </w:r>
            <w:r w:rsidR="008B137B">
              <w:rPr>
                <w:rFonts w:ascii="Times New Roman" w:hAnsi="Times New Roman" w:cs="Times New Roman"/>
                <w:sz w:val="24"/>
                <w:szCs w:val="24"/>
              </w:rPr>
              <w:t>ISIS, Al-Qaeda</w:t>
            </w:r>
            <w:r>
              <w:rPr>
                <w:rFonts w:ascii="Times New Roman" w:hAnsi="Times New Roman" w:cs="Times New Roman"/>
                <w:sz w:val="24"/>
                <w:szCs w:val="24"/>
              </w:rPr>
              <w:t xml:space="preserve"> </w:t>
            </w:r>
          </w:p>
        </w:tc>
      </w:tr>
    </w:tbl>
    <w:p w:rsidR="00C35C78" w:rsidRDefault="00D22151" w:rsidP="00C35C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E04641" w:rsidRDefault="00D22151" w:rsidP="00991A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Keberagaman </w:t>
      </w:r>
      <w:r w:rsidR="00544B02">
        <w:rPr>
          <w:rFonts w:ascii="Times New Roman" w:hAnsi="Times New Roman" w:cs="Times New Roman"/>
          <w:sz w:val="24"/>
          <w:szCs w:val="24"/>
        </w:rPr>
        <w:t>keimanan dalam ajaran Islam</w:t>
      </w:r>
      <w:r>
        <w:rPr>
          <w:rFonts w:ascii="Times New Roman" w:hAnsi="Times New Roman" w:cs="Times New Roman"/>
          <w:sz w:val="24"/>
          <w:szCs w:val="24"/>
        </w:rPr>
        <w:t xml:space="preserve"> dipengaruhi atas ruang sosial. Ruang sosial dari seseorang memiliki sumbangsih yang sangat kuat dalam membentuk karakter keimanan seseorang</w:t>
      </w:r>
      <w:r w:rsidR="00544B02">
        <w:rPr>
          <w:rFonts w:ascii="Times New Roman" w:hAnsi="Times New Roman" w:cs="Times New Roman"/>
          <w:sz w:val="24"/>
          <w:szCs w:val="24"/>
        </w:rPr>
        <w:t xml:space="preserve"> baik dari ajaran akidah (teologi), syari’at (aplikasi keagmaan), maupun akhlak dan tasawuuf (sikap, etika, dan estetika)</w:t>
      </w:r>
      <w:r>
        <w:rPr>
          <w:rFonts w:ascii="Times New Roman" w:hAnsi="Times New Roman" w:cs="Times New Roman"/>
          <w:sz w:val="24"/>
          <w:szCs w:val="24"/>
        </w:rPr>
        <w:t xml:space="preserve">. Dapat dilihat sebagai contoh kelompok yang lahir dikawasan tropis lebih </w:t>
      </w:r>
      <w:r>
        <w:rPr>
          <w:rFonts w:ascii="Times New Roman" w:hAnsi="Times New Roman" w:cs="Times New Roman"/>
          <w:sz w:val="24"/>
          <w:szCs w:val="24"/>
        </w:rPr>
        <w:lastRenderedPageBreak/>
        <w:t xml:space="preserve">bersifat toleransi dibandingkan dengan kelompok yang lahir di tempat yang panas dipadang pasir. Hal tersebut menunjukkan bahwa rahim ruang historis mampu melahirkan </w:t>
      </w:r>
      <w:r w:rsidR="00991A5A">
        <w:rPr>
          <w:rFonts w:ascii="Times New Roman" w:hAnsi="Times New Roman" w:cs="Times New Roman"/>
          <w:sz w:val="24"/>
          <w:szCs w:val="24"/>
        </w:rPr>
        <w:t xml:space="preserve">keberagaman </w:t>
      </w:r>
      <w:r>
        <w:rPr>
          <w:rFonts w:ascii="Times New Roman" w:hAnsi="Times New Roman" w:cs="Times New Roman"/>
          <w:sz w:val="24"/>
          <w:szCs w:val="24"/>
        </w:rPr>
        <w:t xml:space="preserve">keimanan, </w:t>
      </w:r>
      <w:r w:rsidR="00991A5A">
        <w:rPr>
          <w:rFonts w:ascii="Times New Roman" w:hAnsi="Times New Roman" w:cs="Times New Roman"/>
          <w:sz w:val="24"/>
          <w:szCs w:val="24"/>
        </w:rPr>
        <w:t xml:space="preserve">dan </w:t>
      </w:r>
      <w:r>
        <w:rPr>
          <w:rFonts w:ascii="Times New Roman" w:hAnsi="Times New Roman" w:cs="Times New Roman"/>
          <w:sz w:val="24"/>
          <w:szCs w:val="24"/>
        </w:rPr>
        <w:t>keislaman yang dinamis.</w:t>
      </w:r>
    </w:p>
    <w:p w:rsidR="00D22151" w:rsidRDefault="00E04641" w:rsidP="00991A5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544B02">
        <w:rPr>
          <w:rFonts w:ascii="Times New Roman" w:hAnsi="Times New Roman" w:cs="Times New Roman"/>
          <w:sz w:val="24"/>
          <w:szCs w:val="24"/>
        </w:rPr>
        <w:t>Mengenai keberagman keimanan p</w:t>
      </w:r>
      <w:r>
        <w:rPr>
          <w:rFonts w:ascii="Times New Roman" w:hAnsi="Times New Roman" w:cs="Times New Roman"/>
          <w:sz w:val="24"/>
          <w:szCs w:val="24"/>
        </w:rPr>
        <w:t xml:space="preserve">enulis memberikan </w:t>
      </w:r>
      <w:r w:rsidR="00544B02">
        <w:rPr>
          <w:rFonts w:ascii="Times New Roman" w:hAnsi="Times New Roman" w:cs="Times New Roman"/>
          <w:sz w:val="24"/>
          <w:szCs w:val="24"/>
        </w:rPr>
        <w:t>tawaran</w:t>
      </w:r>
      <w:r>
        <w:rPr>
          <w:rFonts w:ascii="Times New Roman" w:hAnsi="Times New Roman" w:cs="Times New Roman"/>
          <w:sz w:val="24"/>
          <w:szCs w:val="24"/>
        </w:rPr>
        <w:t xml:space="preserve"> cara pandang bahwa bagaimana bentuk keimanan yang dianut hal terpenting </w:t>
      </w:r>
      <w:r w:rsidR="00544B02">
        <w:rPr>
          <w:rFonts w:ascii="Times New Roman" w:hAnsi="Times New Roman" w:cs="Times New Roman"/>
          <w:sz w:val="24"/>
          <w:szCs w:val="24"/>
        </w:rPr>
        <w:t xml:space="preserve">adalah </w:t>
      </w:r>
      <w:r>
        <w:rPr>
          <w:rFonts w:ascii="Times New Roman" w:hAnsi="Times New Roman" w:cs="Times New Roman"/>
          <w:sz w:val="24"/>
          <w:szCs w:val="24"/>
        </w:rPr>
        <w:t>tidak dalam golongan teroris, sebab golongan tersebut memiliki defisit ajaran,</w:t>
      </w:r>
      <w:r w:rsidR="00991A5A">
        <w:rPr>
          <w:rFonts w:ascii="Times New Roman" w:hAnsi="Times New Roman" w:cs="Times New Roman"/>
          <w:sz w:val="24"/>
          <w:szCs w:val="24"/>
        </w:rPr>
        <w:t xml:space="preserve"> moral, dan akal sehat, dengan s</w:t>
      </w:r>
      <w:r>
        <w:rPr>
          <w:rFonts w:ascii="Times New Roman" w:hAnsi="Times New Roman" w:cs="Times New Roman"/>
          <w:sz w:val="24"/>
          <w:szCs w:val="24"/>
        </w:rPr>
        <w:t>ecara membabi buta menghancurkan dunia</w:t>
      </w:r>
      <w:r w:rsidR="00544B02">
        <w:rPr>
          <w:rFonts w:ascii="Times New Roman" w:hAnsi="Times New Roman" w:cs="Times New Roman"/>
          <w:sz w:val="24"/>
          <w:szCs w:val="24"/>
        </w:rPr>
        <w:t xml:space="preserve"> dengan tindakan radikalis</w:t>
      </w:r>
      <w:r>
        <w:rPr>
          <w:rFonts w:ascii="Times New Roman" w:hAnsi="Times New Roman" w:cs="Times New Roman"/>
          <w:sz w:val="24"/>
          <w:szCs w:val="24"/>
        </w:rPr>
        <w:t>. Setidaknya penulis berusaha menjelaskan bahwa tiada kebenaran yang sejati didunia, sebab setiap kebenaran itu bersifat relatif sesuai konteks yang interprentasi masyarakat memiliki kelebihan dan kekurangan. Ragam keimanan yang terdapat di</w:t>
      </w:r>
      <w:r w:rsidR="00991A5A">
        <w:rPr>
          <w:rFonts w:ascii="Times New Roman" w:hAnsi="Times New Roman" w:cs="Times New Roman"/>
          <w:sz w:val="24"/>
          <w:szCs w:val="24"/>
        </w:rPr>
        <w:t xml:space="preserve"> </w:t>
      </w:r>
      <w:r>
        <w:rPr>
          <w:rFonts w:ascii="Times New Roman" w:hAnsi="Times New Roman" w:cs="Times New Roman"/>
          <w:sz w:val="24"/>
          <w:szCs w:val="24"/>
        </w:rPr>
        <w:t>dalam Islam terbentuk atas ruang historis dan semuanya memiliki sumbangsih terhadap perkembangan agama Islam, namun sekali lagi tindakan radikalis sangat tidak relevan dalam konsep mukmin sejati yang terdapat di dalam al-Qur’an.</w:t>
      </w:r>
    </w:p>
    <w:p w:rsidR="00544B02" w:rsidRDefault="00E04641" w:rsidP="00544B0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Kata mukmin di dalam al-Qur’an diulang b</w:t>
      </w:r>
      <w:r w:rsidR="00544B02">
        <w:rPr>
          <w:rFonts w:ascii="Times New Roman" w:hAnsi="Times New Roman" w:cs="Times New Roman"/>
          <w:sz w:val="24"/>
          <w:szCs w:val="24"/>
        </w:rPr>
        <w:t>erkali-kali sebagai kajian yang substansial dan membutuhkan perhati</w:t>
      </w:r>
      <w:r>
        <w:rPr>
          <w:rFonts w:ascii="Times New Roman" w:hAnsi="Times New Roman" w:cs="Times New Roman"/>
          <w:sz w:val="24"/>
          <w:szCs w:val="24"/>
        </w:rPr>
        <w:t xml:space="preserve">an lebih. Semakin banyaknya lafaz kata yang disebutkan dalam al-Qur’an menunjukkan </w:t>
      </w:r>
      <w:r w:rsidR="00544B02">
        <w:rPr>
          <w:rFonts w:ascii="Times New Roman" w:hAnsi="Times New Roman" w:cs="Times New Roman"/>
          <w:sz w:val="24"/>
          <w:szCs w:val="24"/>
        </w:rPr>
        <w:t>penting</w:t>
      </w:r>
      <w:r>
        <w:rPr>
          <w:rFonts w:ascii="Times New Roman" w:hAnsi="Times New Roman" w:cs="Times New Roman"/>
          <w:sz w:val="24"/>
          <w:szCs w:val="24"/>
        </w:rPr>
        <w:t xml:space="preserve"> sebuah makna yang terkandung didalamnya. Menurut Fuad ‘Abdul Bāqī dalam kamus </w:t>
      </w:r>
      <w:r>
        <w:rPr>
          <w:rFonts w:ascii="Times New Roman" w:hAnsi="Times New Roman" w:cs="Times New Roman"/>
          <w:i/>
          <w:iCs/>
          <w:sz w:val="24"/>
          <w:szCs w:val="24"/>
        </w:rPr>
        <w:t xml:space="preserve">al-Mu’jam al-Mufahrasy li alfāż </w:t>
      </w:r>
      <w:r>
        <w:rPr>
          <w:rFonts w:ascii="Times New Roman" w:hAnsi="Times New Roman" w:cs="Times New Roman"/>
          <w:i/>
          <w:iCs/>
          <w:sz w:val="24"/>
          <w:szCs w:val="24"/>
        </w:rPr>
        <w:lastRenderedPageBreak/>
        <w:t>al-Qurān al-karīm</w:t>
      </w:r>
      <w:r>
        <w:rPr>
          <w:rFonts w:ascii="Times New Roman" w:hAnsi="Times New Roman" w:cs="Times New Roman"/>
          <w:sz w:val="24"/>
          <w:szCs w:val="24"/>
        </w:rPr>
        <w:t xml:space="preserve"> kata mukmin dalam derivasi sebanyak 74 kali</w:t>
      </w:r>
      <w:r w:rsidR="000250B9">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Dari hal tersebut penulis menganalisis bahwa terdapat dua redaksi ayat yang secara spesifik menunjukkan mukmin yang sejati yaitu dengan penyebutan lafaz </w:t>
      </w:r>
      <w:r>
        <w:rPr>
          <w:rFonts w:ascii="Times New Roman" w:hAnsi="Times New Roman" w:cs="Times New Roman"/>
          <w:i/>
          <w:iCs/>
          <w:sz w:val="24"/>
          <w:szCs w:val="24"/>
        </w:rPr>
        <w:t xml:space="preserve">al-mu’minūna ḥaqqa </w:t>
      </w:r>
      <w:r>
        <w:rPr>
          <w:rFonts w:ascii="Times New Roman" w:hAnsi="Times New Roman" w:cs="Times New Roman"/>
          <w:sz w:val="24"/>
          <w:szCs w:val="24"/>
        </w:rPr>
        <w:t xml:space="preserve">(sebenar-benarnya orang-orang mukmin atau orang-orang mukmin sejati), yaitu dalam QS. al-Anfāl (8): 4 dan 74. Kata tersebut menjadi sangat unik dibanding definisi mukmin lainnya, sebab lafaz mukmin di muḍafkan (disandarkan) dengan kalimat </w:t>
      </w:r>
      <w:r>
        <w:rPr>
          <w:rFonts w:ascii="Times New Roman" w:hAnsi="Times New Roman" w:cs="Times New Roman"/>
          <w:i/>
          <w:iCs/>
          <w:sz w:val="24"/>
          <w:szCs w:val="24"/>
        </w:rPr>
        <w:t>ḥaqqa,</w:t>
      </w:r>
      <w:r>
        <w:rPr>
          <w:rFonts w:ascii="Times New Roman" w:hAnsi="Times New Roman" w:cs="Times New Roman"/>
          <w:sz w:val="24"/>
          <w:szCs w:val="24"/>
        </w:rPr>
        <w:t xml:space="preserve"> sehingga menginterprentasikan definisi mukmin yang lain.</w:t>
      </w:r>
    </w:p>
    <w:p w:rsidR="00D22151" w:rsidRDefault="00D22151" w:rsidP="00544B0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r>
    </w:p>
    <w:p w:rsidR="00450C94" w:rsidRDefault="0006699E" w:rsidP="00450C94">
      <w:pPr>
        <w:rPr>
          <w:rFonts w:asciiTheme="majorBidi" w:hAnsiTheme="majorBidi" w:cstheme="majorBidi"/>
          <w:b/>
          <w:bCs/>
          <w:sz w:val="24"/>
          <w:szCs w:val="24"/>
        </w:rPr>
      </w:pPr>
      <w:r>
        <w:rPr>
          <w:rFonts w:asciiTheme="majorBidi" w:hAnsiTheme="majorBidi" w:cstheme="majorBidi"/>
          <w:b/>
          <w:bCs/>
          <w:sz w:val="24"/>
          <w:szCs w:val="24"/>
        </w:rPr>
        <w:t>Ayat-Ayat Mukmin S</w:t>
      </w:r>
      <w:r w:rsidR="00450C94">
        <w:rPr>
          <w:rFonts w:asciiTheme="majorBidi" w:hAnsiTheme="majorBidi" w:cstheme="majorBidi"/>
          <w:b/>
          <w:bCs/>
          <w:sz w:val="24"/>
          <w:szCs w:val="24"/>
        </w:rPr>
        <w:t>ejati Prespektif Tafsir Jalālain</w:t>
      </w:r>
    </w:p>
    <w:p w:rsidR="006E2359" w:rsidRDefault="00450C94" w:rsidP="006E2359">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Al-Qur’an memberikan pandangan yang luas mengenai mukmin. Semua ayat yang menunjukkan tentang keutamaan mukmin sangat banyak. Menunjukkan bahwa model keimanan seseorang tidak dapat diseragamkan, dan perbedaan merupakan keniscayaan. Namun dalam penyebutannya al-Qur’an banyak menekankan sisi keimanan melalui konsistensi terhadap dua poros tipologi yaitu keimanan yang bersifat individual (</w:t>
      </w:r>
      <w:r w:rsidRPr="00450C94">
        <w:rPr>
          <w:rFonts w:asciiTheme="majorBidi" w:hAnsiTheme="majorBidi" w:cstheme="majorBidi"/>
          <w:i/>
          <w:iCs/>
          <w:sz w:val="24"/>
          <w:szCs w:val="24"/>
        </w:rPr>
        <w:t>khaṣ</w:t>
      </w:r>
      <w:r>
        <w:rPr>
          <w:rFonts w:asciiTheme="majorBidi" w:hAnsiTheme="majorBidi" w:cstheme="majorBidi"/>
          <w:sz w:val="24"/>
          <w:szCs w:val="24"/>
        </w:rPr>
        <w:t>) dan keimanan yang bersifat sosial (</w:t>
      </w:r>
      <w:r w:rsidRPr="00450C94">
        <w:rPr>
          <w:rFonts w:asciiTheme="majorBidi" w:hAnsiTheme="majorBidi" w:cstheme="majorBidi"/>
          <w:i/>
          <w:iCs/>
          <w:sz w:val="24"/>
          <w:szCs w:val="24"/>
        </w:rPr>
        <w:t>‘ām</w:t>
      </w:r>
      <w:r>
        <w:rPr>
          <w:rFonts w:asciiTheme="majorBidi" w:hAnsiTheme="majorBidi" w:cstheme="majorBidi"/>
          <w:sz w:val="24"/>
          <w:szCs w:val="24"/>
        </w:rPr>
        <w:t xml:space="preserve">). Hal tersebut banyak ditemukan mengenai kata </w:t>
      </w:r>
      <w:r w:rsidRPr="00450C94">
        <w:rPr>
          <w:rFonts w:asciiTheme="majorBidi" w:hAnsiTheme="majorBidi" w:cstheme="majorBidi"/>
          <w:i/>
          <w:iCs/>
          <w:sz w:val="24"/>
          <w:szCs w:val="24"/>
        </w:rPr>
        <w:t>āmanū</w:t>
      </w:r>
      <w:r>
        <w:rPr>
          <w:rFonts w:asciiTheme="majorBidi" w:hAnsiTheme="majorBidi" w:cstheme="majorBidi"/>
          <w:sz w:val="24"/>
          <w:szCs w:val="24"/>
        </w:rPr>
        <w:t xml:space="preserve"> (orang-orang yang </w:t>
      </w:r>
      <w:r>
        <w:rPr>
          <w:rFonts w:asciiTheme="majorBidi" w:hAnsiTheme="majorBidi" w:cstheme="majorBidi"/>
          <w:sz w:val="24"/>
          <w:szCs w:val="24"/>
        </w:rPr>
        <w:lastRenderedPageBreak/>
        <w:t xml:space="preserve">beriman) hampir selalu diikuti dengan kata </w:t>
      </w:r>
      <w:r w:rsidRPr="00450C94">
        <w:rPr>
          <w:rFonts w:asciiTheme="majorBidi" w:hAnsiTheme="majorBidi" w:cstheme="majorBidi"/>
          <w:i/>
          <w:iCs/>
          <w:sz w:val="24"/>
          <w:szCs w:val="24"/>
        </w:rPr>
        <w:t>wa ‘amilū al-ṣaliḥat</w:t>
      </w:r>
      <w:r>
        <w:rPr>
          <w:rFonts w:asciiTheme="majorBidi" w:hAnsiTheme="majorBidi" w:cstheme="majorBidi"/>
          <w:sz w:val="24"/>
          <w:szCs w:val="24"/>
        </w:rPr>
        <w:t xml:space="preserve"> (berbuat kebajikan). </w:t>
      </w:r>
    </w:p>
    <w:p w:rsidR="00E22AF5" w:rsidRPr="00D6003D" w:rsidRDefault="006E2359" w:rsidP="00D6003D">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Dalam</w:t>
      </w:r>
      <w:r w:rsidR="00450C94">
        <w:rPr>
          <w:rFonts w:asciiTheme="majorBidi" w:hAnsiTheme="majorBidi" w:cstheme="majorBidi"/>
          <w:sz w:val="24"/>
          <w:szCs w:val="24"/>
        </w:rPr>
        <w:t xml:space="preserve"> redaksi lain </w:t>
      </w:r>
      <w:r>
        <w:rPr>
          <w:rFonts w:asciiTheme="majorBidi" w:hAnsiTheme="majorBidi" w:cstheme="majorBidi"/>
          <w:sz w:val="24"/>
          <w:szCs w:val="24"/>
        </w:rPr>
        <w:t xml:space="preserve">lafaz mukmin </w:t>
      </w:r>
      <w:r w:rsidR="00450C94">
        <w:rPr>
          <w:rFonts w:asciiTheme="majorBidi" w:hAnsiTheme="majorBidi" w:cstheme="majorBidi"/>
          <w:sz w:val="24"/>
          <w:szCs w:val="24"/>
        </w:rPr>
        <w:t xml:space="preserve">juga disebutkan </w:t>
      </w:r>
      <w:r>
        <w:rPr>
          <w:rFonts w:asciiTheme="majorBidi" w:hAnsiTheme="majorBidi" w:cstheme="majorBidi"/>
          <w:sz w:val="24"/>
          <w:szCs w:val="24"/>
        </w:rPr>
        <w:t xml:space="preserve">dengan redaksi selain yang dicantumkan diatas, hal tersebut semakin memperkaya wawasan mengenai pemahaman mukmin secara luas, </w:t>
      </w:r>
      <w:r w:rsidR="00450C94">
        <w:rPr>
          <w:rFonts w:asciiTheme="majorBidi" w:hAnsiTheme="majorBidi" w:cstheme="majorBidi"/>
          <w:sz w:val="24"/>
          <w:szCs w:val="24"/>
        </w:rPr>
        <w:t xml:space="preserve">seperti </w:t>
      </w:r>
      <w:r>
        <w:rPr>
          <w:rFonts w:asciiTheme="majorBidi" w:hAnsiTheme="majorBidi" w:cstheme="majorBidi"/>
          <w:sz w:val="24"/>
          <w:szCs w:val="24"/>
        </w:rPr>
        <w:t xml:space="preserve">kata mukmin yang setelahnya disertai perintah shalat, </w:t>
      </w:r>
      <w:r w:rsidR="00450C94">
        <w:rPr>
          <w:rFonts w:asciiTheme="majorBidi" w:hAnsiTheme="majorBidi" w:cstheme="majorBidi"/>
          <w:sz w:val="24"/>
          <w:szCs w:val="24"/>
        </w:rPr>
        <w:t xml:space="preserve">amalan tentang zakat </w:t>
      </w:r>
      <w:r>
        <w:rPr>
          <w:rFonts w:asciiTheme="majorBidi" w:hAnsiTheme="majorBidi" w:cstheme="majorBidi"/>
          <w:sz w:val="24"/>
          <w:szCs w:val="24"/>
        </w:rPr>
        <w:t>maupun</w:t>
      </w:r>
      <w:r w:rsidR="00450C94">
        <w:rPr>
          <w:rFonts w:asciiTheme="majorBidi" w:hAnsiTheme="majorBidi" w:cstheme="majorBidi"/>
          <w:sz w:val="24"/>
          <w:szCs w:val="24"/>
        </w:rPr>
        <w:t xml:space="preserve"> himbauan menginfaqkan harta yang dimiliki. Untuk </w:t>
      </w:r>
      <w:r w:rsidR="006020F4">
        <w:rPr>
          <w:rFonts w:asciiTheme="majorBidi" w:hAnsiTheme="majorBidi" w:cstheme="majorBidi"/>
          <w:sz w:val="24"/>
          <w:szCs w:val="24"/>
        </w:rPr>
        <w:t>lebih jelasnya penulis akan memaparkan ayat-ayat al-Qur’an yang berbicara tentang mukmin sekaligus penafsirannya dalam kitab Tafsir Jalālain.</w:t>
      </w:r>
    </w:p>
    <w:p w:rsidR="004316BF" w:rsidRPr="004316BF" w:rsidRDefault="00AF013C" w:rsidP="004316BF">
      <w:pPr>
        <w:rPr>
          <w:rFonts w:asciiTheme="majorBidi" w:hAnsiTheme="majorBidi" w:cs="LPMQ Isep Misbah"/>
          <w:b/>
          <w:bCs/>
          <w:sz w:val="24"/>
          <w:szCs w:val="28"/>
        </w:rPr>
      </w:pPr>
      <w:r>
        <w:rPr>
          <w:rFonts w:asciiTheme="majorBidi" w:hAnsiTheme="majorBidi" w:cstheme="majorBidi"/>
          <w:b/>
          <w:bCs/>
          <w:sz w:val="24"/>
          <w:szCs w:val="24"/>
        </w:rPr>
        <w:t>QS. Al-Anfāl (8) : 2-4</w:t>
      </w:r>
    </w:p>
    <w:p w:rsidR="00E22AF5" w:rsidRPr="004B6425" w:rsidRDefault="006020F4" w:rsidP="004B6425">
      <w:pPr>
        <w:bidi/>
        <w:spacing w:line="240" w:lineRule="auto"/>
        <w:rPr>
          <w:rFonts w:ascii="Times New Roman" w:hAnsi="Times New Roman" w:cs="Times New Roman"/>
          <w:i/>
          <w:iCs/>
          <w:color w:val="000000"/>
          <w:sz w:val="24"/>
          <w:szCs w:val="36"/>
        </w:rPr>
      </w:pPr>
      <w:r w:rsidRPr="004B6425">
        <w:rPr>
          <w:rFonts w:ascii="Traditional Arabic" w:hAnsi="Traditional Arabic" w:cs="Traditional Arabic"/>
          <w:color w:val="000000"/>
          <w:sz w:val="28"/>
          <w:szCs w:val="28"/>
          <w:rtl/>
          <w:lang w:val="en-US"/>
        </w:rPr>
        <w:t xml:space="preserve">إِنَّمَا الْمُؤْمِنُونَ الَّذِينَ إِذَا ذُكِرَ اللَّهُ وَجِلَتْ قُلُوبُهُمْ وَإِذَا تُلِيَتْ عَلَيْهِمْ آيَاتُهُ زَادَتْهُمْ إِيمَانًا وَعَلَى رَبِّهِمْ يَتَوَكَّلُونَ </w:t>
      </w:r>
      <w:r w:rsidR="00522E76" w:rsidRPr="006020F4">
        <w:rPr>
          <w:rFonts w:ascii="Traditional Arabic" w:hAnsi="Traditional Arabic" w:cs="Traditional Arabic"/>
          <w:b/>
          <w:bCs/>
          <w:color w:val="000000"/>
          <w:sz w:val="28"/>
          <w:szCs w:val="28"/>
          <w:rtl/>
          <w:lang w:val="en-US"/>
        </w:rPr>
        <w:t>﴿</w:t>
      </w:r>
      <w:r w:rsidR="00522E76">
        <w:rPr>
          <w:rFonts w:ascii="Traditional Arabic" w:hAnsi="Traditional Arabic" w:cs="Traditional Arabic"/>
          <w:b/>
          <w:bCs/>
          <w:color w:val="000000"/>
          <w:sz w:val="28"/>
          <w:szCs w:val="28"/>
          <w:rtl/>
          <w:lang w:val="en-US"/>
        </w:rPr>
        <w:t>٢</w:t>
      </w:r>
      <w:r w:rsidR="00522E76" w:rsidRPr="006020F4">
        <w:rPr>
          <w:rFonts w:ascii="Traditional Arabic" w:hAnsi="Traditional Arabic" w:cs="Traditional Arabic"/>
          <w:b/>
          <w:bCs/>
          <w:color w:val="000000"/>
          <w:sz w:val="28"/>
          <w:szCs w:val="28"/>
          <w:rtl/>
          <w:lang w:val="en-US"/>
        </w:rPr>
        <w:t>﴾</w:t>
      </w:r>
      <w:r w:rsidRPr="00522E76">
        <w:rPr>
          <w:rFonts w:ascii="Traditional Arabic" w:hAnsi="Traditional Arabic" w:cs="Traditional Arabic"/>
          <w:b/>
          <w:bCs/>
          <w:color w:val="000000"/>
          <w:sz w:val="28"/>
          <w:szCs w:val="28"/>
          <w:rtl/>
          <w:lang w:val="en-US"/>
        </w:rPr>
        <w:t xml:space="preserve"> </w:t>
      </w:r>
      <w:r w:rsidRPr="004B6425">
        <w:rPr>
          <w:rFonts w:ascii="Traditional Arabic" w:hAnsi="Traditional Arabic" w:cs="Traditional Arabic"/>
          <w:color w:val="000000"/>
          <w:sz w:val="28"/>
          <w:szCs w:val="28"/>
          <w:rtl/>
          <w:lang w:val="en-US"/>
        </w:rPr>
        <w:t xml:space="preserve">الَّذِينَ يُقِيمُونَ الصَّلَاةَ وَمِمَّا رَزَقْنَاهُمْ يُنْفِقُونَ </w:t>
      </w:r>
      <w:r w:rsidR="00522E76" w:rsidRPr="004B6425">
        <w:rPr>
          <w:rFonts w:ascii="Traditional Arabic" w:hAnsi="Traditional Arabic" w:cs="Traditional Arabic"/>
          <w:color w:val="000000"/>
          <w:sz w:val="28"/>
          <w:szCs w:val="28"/>
          <w:rtl/>
          <w:lang w:val="en-US"/>
        </w:rPr>
        <w:t>﴿٣﴾</w:t>
      </w:r>
      <w:r w:rsidRPr="004B6425">
        <w:rPr>
          <w:rFonts w:ascii="Traditional Arabic" w:hAnsi="Traditional Arabic" w:cs="Traditional Arabic"/>
          <w:color w:val="000000"/>
          <w:sz w:val="28"/>
          <w:szCs w:val="28"/>
          <w:rtl/>
          <w:lang w:val="en-US"/>
        </w:rPr>
        <w:t xml:space="preserve"> أُولَئِكَ هُمُ الْمُؤْمِنُونَ حَقًّا لَهُمْ دَرَجَاتٌ عِنْدَ رَبِّهِمْ وَمَغْفِرَةٌ وَرِزْقٌ كَرِيمٌ</w:t>
      </w:r>
      <w:r w:rsidR="00522E76" w:rsidRPr="004B6425">
        <w:rPr>
          <w:rFonts w:ascii="Traditional Arabic" w:hAnsi="Traditional Arabic" w:cs="Traditional Arabic"/>
          <w:color w:val="000000"/>
          <w:sz w:val="28"/>
          <w:szCs w:val="28"/>
          <w:rtl/>
          <w:lang w:val="en-US"/>
        </w:rPr>
        <w:t>﴿٤﴾</w:t>
      </w:r>
    </w:p>
    <w:p w:rsidR="00E22AF5" w:rsidRDefault="00E22AF5" w:rsidP="004B6425">
      <w:pPr>
        <w:spacing w:line="240" w:lineRule="auto"/>
        <w:ind w:left="720" w:firstLine="720"/>
        <w:jc w:val="both"/>
        <w:rPr>
          <w:rFonts w:ascii="Times New Roman" w:hAnsi="Times New Roman" w:cs="Times New Roman"/>
          <w:sz w:val="24"/>
          <w:szCs w:val="20"/>
        </w:rPr>
      </w:pPr>
      <w:r w:rsidRPr="004B6425">
        <w:rPr>
          <w:rFonts w:ascii="Times New Roman" w:hAnsi="Times New Roman" w:cs="Times New Roman"/>
          <w:i/>
          <w:iCs/>
          <w:sz w:val="24"/>
          <w:szCs w:val="20"/>
        </w:rPr>
        <w:t>Sesungguhnya orang-orang yang beriman adalah mereka yang apabila disebut nama Allah gemetar hatinya, dan apabila dibacakan ayat-ayat-Nya kepada mereka, bertambah (kuat) imannya dan hanya kepada Tuhan mereka bertawakal, (Yaitu) orang-orang yang melaksanakan salat dan yang menginfakkan sebagian dari rezeki yang Kami berikan kepada mereka. Mereka itulah orang-orang yang benar-benar beriman. Mereka akan memperoleh derajat (tinggi) di sisi Tuhannya dan ampunan serta rezeki (nikmat) yang mulia.</w:t>
      </w:r>
    </w:p>
    <w:p w:rsidR="00D6003D" w:rsidRDefault="00D6003D" w:rsidP="00E27160">
      <w:pPr>
        <w:spacing w:after="0" w:line="360" w:lineRule="auto"/>
        <w:jc w:val="both"/>
        <w:rPr>
          <w:rFonts w:ascii="Times New Roman" w:hAnsi="Times New Roman" w:cs="Times New Roman"/>
          <w:sz w:val="24"/>
          <w:szCs w:val="20"/>
        </w:rPr>
      </w:pPr>
      <w:r>
        <w:rPr>
          <w:rFonts w:ascii="Times New Roman" w:hAnsi="Times New Roman" w:cs="Times New Roman"/>
          <w:sz w:val="24"/>
          <w:szCs w:val="20"/>
        </w:rPr>
        <w:tab/>
        <w:t xml:space="preserve">Ayat diatas merupakan penjelasan al-Qur’an mengenai sifat orang mukmin yang cukup komprehensif. Didalam penjelasan ayat </w:t>
      </w:r>
      <w:r>
        <w:rPr>
          <w:rFonts w:ascii="Times New Roman" w:hAnsi="Times New Roman" w:cs="Times New Roman"/>
          <w:sz w:val="24"/>
          <w:szCs w:val="20"/>
        </w:rPr>
        <w:lastRenderedPageBreak/>
        <w:t>tersebut terdapat beberapa sifat orang mukmin yang meliputi aspek individual, dan sosial. Dari aspek individual disebutkan dengan seorang mukmin merupakan orang yang senantiasa be</w:t>
      </w:r>
      <w:r w:rsidR="00E27160">
        <w:rPr>
          <w:rFonts w:ascii="Times New Roman" w:hAnsi="Times New Roman" w:cs="Times New Roman"/>
          <w:sz w:val="24"/>
          <w:szCs w:val="20"/>
        </w:rPr>
        <w:t>rgetar ketika diingatkan tentang Allah, kemudian ketika ayat al-Qur’an dibacakan maka akan berdampak terhadap keimanan, tidak hanya didengarkan, melainkan juga diamalkan, melalui pelaksanaan shalat dan menunaikan zakat. Orang yang demikian tersebut adalah sebenar-benarnya orang beriman atau mukmin sejati sebab dapat memposisikan keimanan dari sisi ruhani dan jasmani.</w:t>
      </w:r>
    </w:p>
    <w:p w:rsidR="00E27160" w:rsidRDefault="00E27160" w:rsidP="004C55B4">
      <w:pPr>
        <w:spacing w:after="0" w:line="360" w:lineRule="auto"/>
        <w:jc w:val="both"/>
        <w:rPr>
          <w:rFonts w:ascii="Times New Roman" w:hAnsi="Times New Roman" w:cs="Times New Roman"/>
          <w:sz w:val="24"/>
          <w:szCs w:val="20"/>
        </w:rPr>
      </w:pPr>
      <w:r>
        <w:rPr>
          <w:rFonts w:ascii="Times New Roman" w:hAnsi="Times New Roman" w:cs="Times New Roman"/>
          <w:sz w:val="24"/>
          <w:szCs w:val="20"/>
        </w:rPr>
        <w:tab/>
        <w:t xml:space="preserve">Melihat beberapa sifat yang dicantumkan </w:t>
      </w:r>
      <w:r w:rsidR="003B5D44">
        <w:rPr>
          <w:rFonts w:ascii="Times New Roman" w:hAnsi="Times New Roman" w:cs="Times New Roman"/>
          <w:sz w:val="24"/>
          <w:szCs w:val="20"/>
        </w:rPr>
        <w:t xml:space="preserve">dalam </w:t>
      </w:r>
      <w:r w:rsidR="003B5D44" w:rsidRPr="003B5D44">
        <w:rPr>
          <w:rFonts w:asciiTheme="majorBidi" w:hAnsiTheme="majorBidi" w:cstheme="majorBidi"/>
          <w:sz w:val="24"/>
          <w:szCs w:val="24"/>
        </w:rPr>
        <w:t>QS. Al-Anfāl (8) : 2-4</w:t>
      </w:r>
      <w:r w:rsidR="00D13BAB">
        <w:rPr>
          <w:rFonts w:asciiTheme="majorBidi" w:hAnsiTheme="majorBidi" w:cstheme="majorBidi"/>
          <w:sz w:val="24"/>
          <w:szCs w:val="24"/>
        </w:rPr>
        <w:t>,</w:t>
      </w:r>
      <w:r w:rsidR="003B5D44">
        <w:rPr>
          <w:rFonts w:ascii="Times New Roman" w:hAnsi="Times New Roman" w:cs="Times New Roman"/>
          <w:sz w:val="24"/>
          <w:szCs w:val="20"/>
        </w:rPr>
        <w:t xml:space="preserve"> Imam al-Suyuti menafsirkan dengan cukup komprehensif</w:t>
      </w:r>
      <w:r>
        <w:rPr>
          <w:rFonts w:ascii="Times New Roman" w:hAnsi="Times New Roman" w:cs="Times New Roman"/>
          <w:sz w:val="24"/>
          <w:szCs w:val="20"/>
        </w:rPr>
        <w:t>. Sifat orang mukmin memiliki tiga landasan poros yang saling berk</w:t>
      </w:r>
      <w:r w:rsidR="003B5D44">
        <w:rPr>
          <w:rFonts w:ascii="Times New Roman" w:hAnsi="Times New Roman" w:cs="Times New Roman"/>
          <w:sz w:val="24"/>
          <w:szCs w:val="20"/>
        </w:rPr>
        <w:t xml:space="preserve">aitan, yaitu jiwa, raga, dan kepedulian sesama. Sifat orang mukmin yang berkaitan dengan jiwa memiliki kesadaran bahwa iman ada kalanya bertambah dan berkurang, oleh sebab itu dengan senantiasa mendekat kepada Allah melalui dzikir dan membaca al-Qur’an dengan baik dan benar serta mendalami maknanya akan dapat senantiasa menjaga iman, setidaknya untuk tetap stabil, tidak mengalami defisit atau pengurangan, sebab hati berasal dari kata qalaba yang artinya </w:t>
      </w:r>
      <w:r w:rsidR="003B5D44">
        <w:rPr>
          <w:rFonts w:ascii="Times New Roman" w:hAnsi="Times New Roman" w:cs="Times New Roman"/>
          <w:sz w:val="24"/>
          <w:szCs w:val="20"/>
        </w:rPr>
        <w:lastRenderedPageBreak/>
        <w:t>bolak-balik atau tidak stabil</w:t>
      </w:r>
      <w:r w:rsidR="004316BF">
        <w:rPr>
          <w:rStyle w:val="FootnoteReference"/>
          <w:rFonts w:ascii="Times New Roman" w:hAnsi="Times New Roman" w:cs="Times New Roman"/>
          <w:sz w:val="24"/>
          <w:szCs w:val="20"/>
        </w:rPr>
        <w:footnoteReference w:id="19"/>
      </w:r>
      <w:r w:rsidR="003B5D44">
        <w:rPr>
          <w:rFonts w:ascii="Times New Roman" w:hAnsi="Times New Roman" w:cs="Times New Roman"/>
          <w:sz w:val="24"/>
          <w:szCs w:val="20"/>
        </w:rPr>
        <w:t>. Itulah pentingnya hati dihiasi dengan ilmu dan dzikir, sebab menurut Imam Ghazali mengutip</w:t>
      </w:r>
      <w:r w:rsidR="00D13BAB">
        <w:rPr>
          <w:rFonts w:ascii="Times New Roman" w:hAnsi="Times New Roman" w:cs="Times New Roman"/>
          <w:sz w:val="24"/>
          <w:szCs w:val="20"/>
        </w:rPr>
        <w:t xml:space="preserve"> gurunya yaitu</w:t>
      </w:r>
      <w:r w:rsidR="003B5D44">
        <w:rPr>
          <w:rFonts w:ascii="Times New Roman" w:hAnsi="Times New Roman" w:cs="Times New Roman"/>
          <w:sz w:val="24"/>
          <w:szCs w:val="20"/>
        </w:rPr>
        <w:t xml:space="preserve"> Ibn al-Mubarok </w:t>
      </w:r>
      <w:r w:rsidR="00D13BAB">
        <w:rPr>
          <w:rFonts w:ascii="Times New Roman" w:hAnsi="Times New Roman" w:cs="Times New Roman"/>
          <w:sz w:val="24"/>
          <w:szCs w:val="20"/>
        </w:rPr>
        <w:t xml:space="preserve">mengatakan </w:t>
      </w:r>
      <w:r w:rsidR="003B5D44">
        <w:rPr>
          <w:rFonts w:ascii="Times New Roman" w:hAnsi="Times New Roman" w:cs="Times New Roman"/>
          <w:sz w:val="24"/>
          <w:szCs w:val="20"/>
        </w:rPr>
        <w:t>bahwa</w:t>
      </w:r>
      <w:r w:rsidR="00D13BAB">
        <w:rPr>
          <w:rFonts w:ascii="Times New Roman" w:hAnsi="Times New Roman" w:cs="Times New Roman"/>
          <w:sz w:val="24"/>
          <w:szCs w:val="20"/>
        </w:rPr>
        <w:t xml:space="preserve"> salah satu sebab matinya hati adalah tidak belajar dan berdzikir</w:t>
      </w:r>
      <w:r w:rsidR="004C55B4">
        <w:rPr>
          <w:rStyle w:val="FootnoteReference"/>
          <w:rFonts w:ascii="Times New Roman" w:hAnsi="Times New Roman" w:cs="Times New Roman"/>
          <w:sz w:val="24"/>
          <w:szCs w:val="20"/>
        </w:rPr>
        <w:footnoteReference w:id="20"/>
      </w:r>
      <w:r w:rsidR="00D13BAB">
        <w:rPr>
          <w:rFonts w:ascii="Times New Roman" w:hAnsi="Times New Roman" w:cs="Times New Roman"/>
          <w:sz w:val="24"/>
          <w:szCs w:val="20"/>
        </w:rPr>
        <w:t>.</w:t>
      </w:r>
      <w:r w:rsidR="004C55B4">
        <w:rPr>
          <w:rFonts w:ascii="Times New Roman" w:hAnsi="Times New Roman" w:cs="Times New Roman"/>
          <w:sz w:val="24"/>
          <w:szCs w:val="20"/>
        </w:rPr>
        <w:t xml:space="preserve"> </w:t>
      </w:r>
    </w:p>
    <w:p w:rsidR="00D13BAB" w:rsidRDefault="00D13BAB" w:rsidP="00B13B83">
      <w:pPr>
        <w:spacing w:after="0" w:line="360" w:lineRule="auto"/>
        <w:jc w:val="both"/>
        <w:rPr>
          <w:rFonts w:ascii="Times New Roman" w:hAnsi="Times New Roman" w:cs="Times New Roman"/>
          <w:sz w:val="24"/>
          <w:szCs w:val="20"/>
        </w:rPr>
      </w:pPr>
      <w:r>
        <w:rPr>
          <w:rFonts w:ascii="Times New Roman" w:hAnsi="Times New Roman" w:cs="Times New Roman"/>
          <w:sz w:val="24"/>
          <w:szCs w:val="20"/>
        </w:rPr>
        <w:tab/>
        <w:t xml:space="preserve">Sifat orang mukmin yang berkaitan dengan raga adalah shalat. Tidak dapat dipungkiri bahwa shalat adalah interaksi paling nyata antara manusia dengan tuhannya, Imam al-Suyuti menjelaskan bahwa shalat haruslah </w:t>
      </w:r>
      <w:r>
        <w:rPr>
          <w:rFonts w:ascii="Times New Roman" w:hAnsi="Times New Roman" w:cs="Times New Roman"/>
          <w:i/>
          <w:iCs/>
          <w:sz w:val="24"/>
          <w:szCs w:val="20"/>
        </w:rPr>
        <w:t>ya’tūna biḥuqūqiha</w:t>
      </w:r>
      <w:r>
        <w:rPr>
          <w:rFonts w:ascii="Times New Roman" w:hAnsi="Times New Roman" w:cs="Times New Roman"/>
          <w:sz w:val="24"/>
          <w:szCs w:val="20"/>
        </w:rPr>
        <w:t xml:space="preserve"> (menempatkan haknya shalat), yaitu dengan menjalankan shalat sesuai dengan waktunya, memperhatikan syarat rukun dan adab shalat. Imam al-Suyuti mengindikasikan bahwa orang yang menjalankan shalat disertai dengan haknya akan membentuk karakter yang benar. Tanpa disadari dengan melaksanakan shalat lima</w:t>
      </w:r>
      <w:r w:rsidR="00B13B83">
        <w:rPr>
          <w:rFonts w:ascii="Times New Roman" w:hAnsi="Times New Roman" w:cs="Times New Roman"/>
          <w:sz w:val="24"/>
          <w:szCs w:val="20"/>
        </w:rPr>
        <w:t xml:space="preserve"> waktu secara tertib</w:t>
      </w:r>
      <w:r>
        <w:rPr>
          <w:rFonts w:ascii="Times New Roman" w:hAnsi="Times New Roman" w:cs="Times New Roman"/>
          <w:sz w:val="24"/>
          <w:szCs w:val="20"/>
        </w:rPr>
        <w:t xml:space="preserve"> seseorang </w:t>
      </w:r>
      <w:r w:rsidR="00B13B83">
        <w:rPr>
          <w:rFonts w:ascii="Times New Roman" w:hAnsi="Times New Roman" w:cs="Times New Roman"/>
          <w:sz w:val="24"/>
          <w:szCs w:val="20"/>
        </w:rPr>
        <w:t xml:space="preserve">sebanarnya </w:t>
      </w:r>
      <w:r>
        <w:rPr>
          <w:rFonts w:ascii="Times New Roman" w:hAnsi="Times New Roman" w:cs="Times New Roman"/>
          <w:sz w:val="24"/>
          <w:szCs w:val="20"/>
        </w:rPr>
        <w:t xml:space="preserve">diasah untuk disiplin, tanggung jawab, </w:t>
      </w:r>
      <w:r w:rsidR="00B13B83">
        <w:rPr>
          <w:rFonts w:ascii="Times New Roman" w:hAnsi="Times New Roman" w:cs="Times New Roman"/>
          <w:sz w:val="24"/>
          <w:szCs w:val="20"/>
        </w:rPr>
        <w:t xml:space="preserve">dan memprioritaskan </w:t>
      </w:r>
      <w:r>
        <w:rPr>
          <w:rFonts w:ascii="Times New Roman" w:hAnsi="Times New Roman" w:cs="Times New Roman"/>
          <w:sz w:val="24"/>
          <w:szCs w:val="20"/>
        </w:rPr>
        <w:t>t</w:t>
      </w:r>
      <w:r w:rsidR="00B13B83">
        <w:rPr>
          <w:rFonts w:ascii="Times New Roman" w:hAnsi="Times New Roman" w:cs="Times New Roman"/>
          <w:sz w:val="24"/>
          <w:szCs w:val="20"/>
        </w:rPr>
        <w:t>erhadap kewajiban yang harus dijalankan</w:t>
      </w:r>
      <w:r w:rsidR="004316BF">
        <w:rPr>
          <w:rStyle w:val="FootnoteReference"/>
          <w:rFonts w:ascii="Times New Roman" w:hAnsi="Times New Roman" w:cs="Times New Roman"/>
          <w:sz w:val="24"/>
          <w:szCs w:val="20"/>
        </w:rPr>
        <w:footnoteReference w:id="21"/>
      </w:r>
      <w:r w:rsidR="00B13B83">
        <w:rPr>
          <w:rFonts w:ascii="Times New Roman" w:hAnsi="Times New Roman" w:cs="Times New Roman"/>
          <w:sz w:val="24"/>
          <w:szCs w:val="20"/>
        </w:rPr>
        <w:t>.</w:t>
      </w:r>
    </w:p>
    <w:p w:rsidR="00E22AF5" w:rsidRDefault="00B13B83" w:rsidP="00C72751">
      <w:pPr>
        <w:spacing w:after="0" w:line="360" w:lineRule="auto"/>
        <w:jc w:val="both"/>
        <w:rPr>
          <w:rFonts w:asciiTheme="majorBidi" w:hAnsiTheme="majorBidi" w:cstheme="majorBidi"/>
          <w:b/>
          <w:bCs/>
          <w:sz w:val="24"/>
          <w:szCs w:val="24"/>
        </w:rPr>
      </w:pPr>
      <w:r>
        <w:rPr>
          <w:rFonts w:ascii="Times New Roman" w:hAnsi="Times New Roman" w:cs="Times New Roman"/>
          <w:sz w:val="24"/>
          <w:szCs w:val="20"/>
        </w:rPr>
        <w:tab/>
        <w:t>Sifat orang mukmin yang berkaitan dengan kepedulian bersama adalah zakat. Zakat merupakan simbol k</w:t>
      </w:r>
      <w:r w:rsidR="004316BF">
        <w:rPr>
          <w:rFonts w:ascii="Times New Roman" w:hAnsi="Times New Roman" w:cs="Times New Roman"/>
          <w:sz w:val="24"/>
          <w:szCs w:val="20"/>
        </w:rPr>
        <w:t xml:space="preserve">epedulian sosial dengan mengikis persoalan kemiskinan. Adanya upaya dalam al-Qur’an untuk </w:t>
      </w:r>
      <w:r w:rsidR="004316BF">
        <w:rPr>
          <w:rFonts w:ascii="Times New Roman" w:hAnsi="Times New Roman" w:cs="Times New Roman"/>
          <w:sz w:val="24"/>
          <w:szCs w:val="20"/>
        </w:rPr>
        <w:lastRenderedPageBreak/>
        <w:t>mempersempit kesenjangan kasta sosial, yang disebabkan atas kapitalisme, dan penumpukan harta. Salah satu hal yang wajib untuk dilaksanakan bagi orang yang berkeluarga adalah menafkahi keluarganya serta memberikan kewajiban lain kepada orang yang membutuhkan dengan zakat, atau jika belum berkewajiban zakat maka tetap dianjurkan dengan sedekah</w:t>
      </w:r>
      <w:r w:rsidR="004316BF">
        <w:rPr>
          <w:rStyle w:val="FootnoteReference"/>
          <w:rFonts w:ascii="Times New Roman" w:hAnsi="Times New Roman" w:cs="Times New Roman"/>
          <w:sz w:val="24"/>
          <w:szCs w:val="20"/>
        </w:rPr>
        <w:footnoteReference w:id="22"/>
      </w:r>
      <w:r w:rsidR="004316BF">
        <w:rPr>
          <w:rFonts w:ascii="Times New Roman" w:hAnsi="Times New Roman" w:cs="Times New Roman"/>
          <w:sz w:val="24"/>
          <w:szCs w:val="20"/>
        </w:rPr>
        <w:t>.</w:t>
      </w:r>
    </w:p>
    <w:p w:rsidR="00C72751" w:rsidRPr="00C72751" w:rsidRDefault="00C72751" w:rsidP="00C72751">
      <w:pPr>
        <w:spacing w:after="0" w:line="360" w:lineRule="auto"/>
        <w:jc w:val="both"/>
        <w:rPr>
          <w:rFonts w:asciiTheme="majorBidi" w:hAnsiTheme="majorBidi" w:cstheme="majorBidi"/>
          <w:b/>
          <w:bCs/>
          <w:sz w:val="24"/>
          <w:szCs w:val="24"/>
        </w:rPr>
      </w:pPr>
    </w:p>
    <w:p w:rsidR="00AF013C" w:rsidRDefault="00AF013C" w:rsidP="00544B02">
      <w:pPr>
        <w:rPr>
          <w:rFonts w:asciiTheme="majorBidi" w:hAnsiTheme="majorBidi" w:cstheme="majorBidi"/>
          <w:b/>
          <w:bCs/>
          <w:sz w:val="24"/>
          <w:szCs w:val="24"/>
        </w:rPr>
      </w:pPr>
      <w:r>
        <w:rPr>
          <w:rFonts w:asciiTheme="majorBidi" w:hAnsiTheme="majorBidi" w:cstheme="majorBidi"/>
          <w:b/>
          <w:bCs/>
          <w:sz w:val="24"/>
          <w:szCs w:val="24"/>
        </w:rPr>
        <w:t>QS. Al-Anfāl (8): 74</w:t>
      </w:r>
    </w:p>
    <w:p w:rsidR="00522E76" w:rsidRPr="004B6425" w:rsidRDefault="006020F4" w:rsidP="00522E76">
      <w:pPr>
        <w:bidi/>
        <w:rPr>
          <w:rFonts w:ascii="Traditional Arabic" w:hAnsi="Traditional Arabic" w:cs="Traditional Arabic"/>
          <w:color w:val="000000"/>
          <w:sz w:val="28"/>
          <w:szCs w:val="28"/>
        </w:rPr>
      </w:pPr>
      <w:r w:rsidRPr="004B6425">
        <w:rPr>
          <w:rFonts w:ascii="Traditional Arabic" w:hAnsi="Traditional Arabic" w:cs="Traditional Arabic"/>
          <w:color w:val="000000"/>
          <w:sz w:val="28"/>
          <w:szCs w:val="28"/>
          <w:rtl/>
          <w:lang w:val="en-US"/>
        </w:rPr>
        <w:t xml:space="preserve">وَالَّذِينَ آمَنُوا وَهَاجَرُوا وَجَاهَدُوا فِي سَبِيلِ اللَّهِ وَالَّذِينَ آوَوْا وَنَصَرُوا أُولَئِكَ هُمُ الْمُؤْمِنُونَ حَقًّا لَهُمْ مَغْفِرَةٌ وَرِزْقٌ كَرِيمٌ </w:t>
      </w:r>
      <w:r w:rsidR="00522E76" w:rsidRPr="004B6425">
        <w:rPr>
          <w:rFonts w:ascii="Traditional Arabic" w:hAnsi="Traditional Arabic" w:cs="Traditional Arabic"/>
          <w:color w:val="000000"/>
          <w:sz w:val="28"/>
          <w:szCs w:val="28"/>
          <w:rtl/>
          <w:lang w:val="en-US"/>
        </w:rPr>
        <w:t>﴿٧٤﴾</w:t>
      </w:r>
    </w:p>
    <w:p w:rsidR="00E22AF5" w:rsidRDefault="004B6425" w:rsidP="006E2359">
      <w:pPr>
        <w:spacing w:line="240" w:lineRule="auto"/>
        <w:ind w:left="720"/>
        <w:rPr>
          <w:rFonts w:ascii="Times New Roman" w:hAnsi="Times New Roman" w:cs="Times New Roman"/>
          <w:sz w:val="24"/>
          <w:szCs w:val="20"/>
        </w:rPr>
      </w:pPr>
      <w:r>
        <w:rPr>
          <w:rFonts w:ascii="Times New Roman" w:hAnsi="Times New Roman" w:cs="Times New Roman"/>
          <w:i/>
          <w:iCs/>
          <w:sz w:val="24"/>
          <w:szCs w:val="20"/>
        </w:rPr>
        <w:t xml:space="preserve"> “</w:t>
      </w:r>
      <w:r w:rsidR="00E22AF5" w:rsidRPr="004B6425">
        <w:rPr>
          <w:rFonts w:ascii="Times New Roman" w:hAnsi="Times New Roman" w:cs="Times New Roman"/>
          <w:i/>
          <w:iCs/>
          <w:sz w:val="24"/>
          <w:szCs w:val="20"/>
        </w:rPr>
        <w:t>Dan orang-orang yang beriman dan berhijrah serta berjihad di jalan Allah, dan orang-orang yang memberi tempat kediaman dan memberi pertolongan (kepada orang Muhajirin), mereka itulah orang yang benar-benar beriman. Mereka memperoleh ampunan dan rezeki (nikmat) yang mulia.</w:t>
      </w:r>
      <w:r>
        <w:rPr>
          <w:rFonts w:ascii="Times New Roman" w:hAnsi="Times New Roman" w:cs="Times New Roman"/>
          <w:i/>
          <w:iCs/>
          <w:sz w:val="24"/>
          <w:szCs w:val="20"/>
        </w:rPr>
        <w:t>”</w:t>
      </w:r>
    </w:p>
    <w:p w:rsidR="00C72751" w:rsidRPr="00C72751" w:rsidRDefault="00C72751" w:rsidP="00E96482">
      <w:pPr>
        <w:spacing w:after="0" w:line="360" w:lineRule="auto"/>
        <w:ind w:firstLine="720"/>
        <w:jc w:val="both"/>
        <w:rPr>
          <w:rFonts w:ascii="Times New Roman" w:hAnsi="Times New Roman" w:cs="Times New Roman"/>
          <w:sz w:val="24"/>
          <w:szCs w:val="20"/>
        </w:rPr>
      </w:pPr>
      <w:r>
        <w:rPr>
          <w:rFonts w:ascii="Times New Roman" w:hAnsi="Times New Roman" w:cs="Times New Roman"/>
          <w:sz w:val="24"/>
          <w:szCs w:val="20"/>
        </w:rPr>
        <w:t xml:space="preserve">Dalam </w:t>
      </w:r>
      <w:r w:rsidR="00B01BCF">
        <w:rPr>
          <w:rFonts w:ascii="Times New Roman" w:hAnsi="Times New Roman" w:cs="Times New Roman"/>
          <w:sz w:val="24"/>
          <w:szCs w:val="20"/>
        </w:rPr>
        <w:t>kajian</w:t>
      </w:r>
      <w:r>
        <w:rPr>
          <w:rFonts w:ascii="Times New Roman" w:hAnsi="Times New Roman" w:cs="Times New Roman"/>
          <w:sz w:val="24"/>
          <w:szCs w:val="20"/>
        </w:rPr>
        <w:t xml:space="preserve"> historisitas</w:t>
      </w:r>
      <w:r w:rsidR="00B01BCF">
        <w:rPr>
          <w:rFonts w:ascii="Times New Roman" w:hAnsi="Times New Roman" w:cs="Times New Roman"/>
          <w:sz w:val="24"/>
          <w:szCs w:val="20"/>
        </w:rPr>
        <w:t xml:space="preserve"> turunnya ayat</w:t>
      </w:r>
      <w:r>
        <w:rPr>
          <w:rFonts w:ascii="Times New Roman" w:hAnsi="Times New Roman" w:cs="Times New Roman"/>
          <w:sz w:val="24"/>
          <w:szCs w:val="20"/>
        </w:rPr>
        <w:t xml:space="preserve"> </w:t>
      </w:r>
      <w:r w:rsidR="00B01BCF">
        <w:rPr>
          <w:rFonts w:ascii="Times New Roman" w:hAnsi="Times New Roman" w:cs="Times New Roman"/>
          <w:sz w:val="24"/>
          <w:szCs w:val="20"/>
        </w:rPr>
        <w:t xml:space="preserve">(sejarah) atau asbābun nuzūl, </w:t>
      </w:r>
      <w:r>
        <w:rPr>
          <w:rFonts w:ascii="Times New Roman" w:hAnsi="Times New Roman" w:cs="Times New Roman"/>
          <w:sz w:val="24"/>
          <w:szCs w:val="20"/>
        </w:rPr>
        <w:t xml:space="preserve">ayat tersebut </w:t>
      </w:r>
      <w:r w:rsidR="009613BB">
        <w:rPr>
          <w:rFonts w:ascii="Times New Roman" w:hAnsi="Times New Roman" w:cs="Times New Roman"/>
          <w:sz w:val="24"/>
          <w:szCs w:val="20"/>
        </w:rPr>
        <w:t xml:space="preserve">secara makro </w:t>
      </w:r>
      <w:r>
        <w:rPr>
          <w:rFonts w:ascii="Times New Roman" w:hAnsi="Times New Roman" w:cs="Times New Roman"/>
          <w:sz w:val="24"/>
          <w:szCs w:val="20"/>
        </w:rPr>
        <w:t xml:space="preserve">turun </w:t>
      </w:r>
      <w:r w:rsidR="006D2A86">
        <w:rPr>
          <w:rFonts w:ascii="Times New Roman" w:hAnsi="Times New Roman" w:cs="Times New Roman"/>
          <w:sz w:val="24"/>
          <w:szCs w:val="20"/>
        </w:rPr>
        <w:t>saat nabi Muhammad Hijrah ke</w:t>
      </w:r>
      <w:r>
        <w:rPr>
          <w:rFonts w:ascii="Times New Roman" w:hAnsi="Times New Roman" w:cs="Times New Roman"/>
          <w:sz w:val="24"/>
          <w:szCs w:val="20"/>
        </w:rPr>
        <w:t xml:space="preserve"> Madinah</w:t>
      </w:r>
      <w:r w:rsidR="009613BB">
        <w:rPr>
          <w:rStyle w:val="FootnoteReference"/>
          <w:rFonts w:ascii="Times New Roman" w:hAnsi="Times New Roman" w:cs="Times New Roman"/>
          <w:sz w:val="24"/>
          <w:szCs w:val="20"/>
        </w:rPr>
        <w:footnoteReference w:id="23"/>
      </w:r>
      <w:r>
        <w:rPr>
          <w:rFonts w:ascii="Times New Roman" w:hAnsi="Times New Roman" w:cs="Times New Roman"/>
          <w:sz w:val="24"/>
          <w:szCs w:val="20"/>
        </w:rPr>
        <w:t>.</w:t>
      </w:r>
      <w:r w:rsidR="00B01BCF">
        <w:rPr>
          <w:rFonts w:ascii="Times New Roman" w:hAnsi="Times New Roman" w:cs="Times New Roman"/>
          <w:sz w:val="24"/>
          <w:szCs w:val="20"/>
        </w:rPr>
        <w:t xml:space="preserve"> Kata mukmin dalam konteks ayat tersebut memiliki hubungan yang erat antara kaum Muhājirin yang datang berpindah kemadinah dengan kesungguhan hati dan kaum Anṣar yang menyambut rombongan nabi beserta kaum Muhājirin dengan senang hati. Dalam hal ini </w:t>
      </w:r>
      <w:r w:rsidR="00B01BCF">
        <w:rPr>
          <w:rFonts w:ascii="Times New Roman" w:hAnsi="Times New Roman" w:cs="Times New Roman"/>
          <w:sz w:val="24"/>
          <w:szCs w:val="20"/>
        </w:rPr>
        <w:lastRenderedPageBreak/>
        <w:t>nuansa keimanan dalam konteks sosial sangatlah kuat. Betapa luar biasanya kaum Muhājirin yang asalnya dari Makkah meninggalkan rumah, tempat tinggal, harta benda, keluarga, demi membela Islam dengan mengikuti nabi Muhammad, begitu halnya kaum Anṣar yang gigih dan gagah loyalitas melayani seluruh kebutuhan nabi Muhammad dan para pengikutnya seperti saudara kandung sendiri.</w:t>
      </w:r>
    </w:p>
    <w:p w:rsidR="006020F4" w:rsidRPr="008B1D8F" w:rsidRDefault="00B01BCF" w:rsidP="00E96482">
      <w:pPr>
        <w:spacing w:after="0" w:line="360" w:lineRule="auto"/>
        <w:jc w:val="both"/>
        <w:rPr>
          <w:rFonts w:asciiTheme="majorBidi" w:hAnsiTheme="majorBidi" w:cstheme="majorBidi"/>
          <w:sz w:val="24"/>
          <w:szCs w:val="24"/>
        </w:rPr>
      </w:pPr>
      <w:r>
        <w:rPr>
          <w:rFonts w:ascii="Arial" w:hAnsi="Arial" w:cs="Arial"/>
          <w:b/>
          <w:bCs/>
          <w:sz w:val="20"/>
          <w:szCs w:val="16"/>
        </w:rPr>
        <w:tab/>
      </w:r>
      <w:r w:rsidRPr="008B1D8F">
        <w:rPr>
          <w:rFonts w:asciiTheme="majorBidi" w:hAnsiTheme="majorBidi" w:cstheme="majorBidi"/>
          <w:sz w:val="24"/>
          <w:szCs w:val="24"/>
        </w:rPr>
        <w:t>Berbicara mengenai penafsiran ayat ini</w:t>
      </w:r>
      <w:r w:rsidR="009228E3" w:rsidRPr="008B1D8F">
        <w:rPr>
          <w:rFonts w:asciiTheme="majorBidi" w:hAnsiTheme="majorBidi" w:cstheme="majorBidi"/>
          <w:sz w:val="24"/>
          <w:szCs w:val="24"/>
        </w:rPr>
        <w:t xml:space="preserve"> dalam tafsir Jalālain terdapat tiga sifat yang sangat kuat dalam membentuk mukmin sejati</w:t>
      </w:r>
      <w:r w:rsidR="008B1D8F">
        <w:rPr>
          <w:rStyle w:val="FootnoteReference"/>
          <w:rFonts w:asciiTheme="majorBidi" w:hAnsiTheme="majorBidi" w:cstheme="majorBidi"/>
          <w:sz w:val="24"/>
          <w:szCs w:val="24"/>
        </w:rPr>
        <w:footnoteReference w:id="24"/>
      </w:r>
      <w:r w:rsidR="009228E3" w:rsidRPr="008B1D8F">
        <w:rPr>
          <w:rFonts w:asciiTheme="majorBidi" w:hAnsiTheme="majorBidi" w:cstheme="majorBidi"/>
          <w:sz w:val="24"/>
          <w:szCs w:val="24"/>
        </w:rPr>
        <w:t xml:space="preserve">. </w:t>
      </w:r>
      <w:r w:rsidR="009228E3" w:rsidRPr="008B1D8F">
        <w:rPr>
          <w:rFonts w:asciiTheme="majorBidi" w:hAnsiTheme="majorBidi" w:cstheme="majorBidi"/>
          <w:i/>
          <w:iCs/>
          <w:sz w:val="24"/>
          <w:szCs w:val="24"/>
        </w:rPr>
        <w:t>Pertama,</w:t>
      </w:r>
      <w:r w:rsidR="009228E3" w:rsidRPr="008B1D8F">
        <w:rPr>
          <w:rFonts w:asciiTheme="majorBidi" w:hAnsiTheme="majorBidi" w:cstheme="majorBidi"/>
          <w:sz w:val="24"/>
          <w:szCs w:val="24"/>
        </w:rPr>
        <w:t xml:space="preserve"> </w:t>
      </w:r>
      <w:r w:rsidR="008B1D8F" w:rsidRPr="008B1D8F">
        <w:rPr>
          <w:rFonts w:asciiTheme="majorBidi" w:hAnsiTheme="majorBidi" w:cstheme="majorBidi"/>
          <w:i/>
          <w:iCs/>
          <w:sz w:val="24"/>
          <w:szCs w:val="24"/>
        </w:rPr>
        <w:t>hājarū</w:t>
      </w:r>
      <w:r w:rsidR="008B1D8F">
        <w:rPr>
          <w:rFonts w:asciiTheme="majorBidi" w:hAnsiTheme="majorBidi" w:cstheme="majorBidi"/>
          <w:sz w:val="24"/>
          <w:szCs w:val="24"/>
        </w:rPr>
        <w:t xml:space="preserve"> </w:t>
      </w:r>
      <w:r w:rsidR="009228E3" w:rsidRPr="008B1D8F">
        <w:rPr>
          <w:rFonts w:asciiTheme="majorBidi" w:hAnsiTheme="majorBidi" w:cstheme="majorBidi"/>
          <w:sz w:val="24"/>
          <w:szCs w:val="24"/>
        </w:rPr>
        <w:t>seorang mukmin harus melakukan hijrah, dalam konteks nabi pemaknaan hijrah diartikan sebagai pergi. Hal tersebut sebagaimana hijrahnya nabi dimaknai sebagai pindah, pergi, dari Makkah ke Madinah</w:t>
      </w:r>
      <w:r w:rsidR="0092795F">
        <w:rPr>
          <w:rFonts w:asciiTheme="majorBidi" w:hAnsiTheme="majorBidi" w:cstheme="majorBidi"/>
          <w:sz w:val="24"/>
          <w:szCs w:val="24"/>
        </w:rPr>
        <w:t xml:space="preserve"> sebagi tindakan revolusi</w:t>
      </w:r>
      <w:r w:rsidR="008B1D8F">
        <w:rPr>
          <w:rStyle w:val="FootnoteReference"/>
          <w:rFonts w:asciiTheme="majorBidi" w:hAnsiTheme="majorBidi" w:cstheme="majorBidi"/>
          <w:sz w:val="24"/>
          <w:szCs w:val="24"/>
        </w:rPr>
        <w:footnoteReference w:id="25"/>
      </w:r>
      <w:r w:rsidR="009228E3" w:rsidRPr="008B1D8F">
        <w:rPr>
          <w:rFonts w:asciiTheme="majorBidi" w:hAnsiTheme="majorBidi" w:cstheme="majorBidi"/>
          <w:sz w:val="24"/>
          <w:szCs w:val="24"/>
        </w:rPr>
        <w:t xml:space="preserve">. </w:t>
      </w:r>
      <w:r w:rsidR="00D763D2" w:rsidRPr="008B1D8F">
        <w:rPr>
          <w:rFonts w:asciiTheme="majorBidi" w:hAnsiTheme="majorBidi" w:cstheme="majorBidi"/>
          <w:sz w:val="24"/>
          <w:szCs w:val="24"/>
        </w:rPr>
        <w:t xml:space="preserve">Dapat juga dimaknai senantiasa berusaha menuju kepada kebaikan. </w:t>
      </w:r>
      <w:r w:rsidR="00D763D2" w:rsidRPr="008B1D8F">
        <w:rPr>
          <w:rFonts w:asciiTheme="majorBidi" w:hAnsiTheme="majorBidi" w:cstheme="majorBidi"/>
          <w:i/>
          <w:iCs/>
          <w:sz w:val="24"/>
          <w:szCs w:val="24"/>
        </w:rPr>
        <w:t>Kedua,</w:t>
      </w:r>
      <w:r w:rsidR="00D763D2" w:rsidRPr="008B1D8F">
        <w:rPr>
          <w:rFonts w:asciiTheme="majorBidi" w:hAnsiTheme="majorBidi" w:cstheme="majorBidi"/>
          <w:sz w:val="24"/>
          <w:szCs w:val="24"/>
        </w:rPr>
        <w:t xml:space="preserve"> </w:t>
      </w:r>
      <w:r w:rsidR="008B1D8F">
        <w:rPr>
          <w:rFonts w:asciiTheme="majorBidi" w:hAnsiTheme="majorBidi" w:cstheme="majorBidi"/>
          <w:sz w:val="24"/>
          <w:szCs w:val="24"/>
        </w:rPr>
        <w:t>jāhadu (</w:t>
      </w:r>
      <w:r w:rsidR="00D763D2" w:rsidRPr="008B1D8F">
        <w:rPr>
          <w:rFonts w:asciiTheme="majorBidi" w:hAnsiTheme="majorBidi" w:cstheme="majorBidi"/>
          <w:sz w:val="24"/>
          <w:szCs w:val="24"/>
        </w:rPr>
        <w:t>kesungguhan hati, mental dan jiwa</w:t>
      </w:r>
      <w:r w:rsidR="008B1D8F">
        <w:rPr>
          <w:rFonts w:asciiTheme="majorBidi" w:hAnsiTheme="majorBidi" w:cstheme="majorBidi"/>
          <w:sz w:val="24"/>
          <w:szCs w:val="24"/>
        </w:rPr>
        <w:t>) bersunggungguh-sungguh</w:t>
      </w:r>
      <w:r w:rsidR="00D763D2" w:rsidRPr="008B1D8F">
        <w:rPr>
          <w:rFonts w:asciiTheme="majorBidi" w:hAnsiTheme="majorBidi" w:cstheme="majorBidi"/>
          <w:sz w:val="24"/>
          <w:szCs w:val="24"/>
        </w:rPr>
        <w:t xml:space="preserve"> untuk berpegang teguh di jalan Allah dengan mengikuti nabi Muhammad dalam menyebarkan ajaran Islam. </w:t>
      </w:r>
      <w:r w:rsidR="00D763D2" w:rsidRPr="008B1D8F">
        <w:rPr>
          <w:rFonts w:asciiTheme="majorBidi" w:hAnsiTheme="majorBidi" w:cstheme="majorBidi"/>
          <w:i/>
          <w:iCs/>
          <w:sz w:val="24"/>
          <w:szCs w:val="24"/>
        </w:rPr>
        <w:t xml:space="preserve">Ketiga, </w:t>
      </w:r>
      <w:r w:rsidR="008B1D8F">
        <w:rPr>
          <w:rFonts w:asciiTheme="majorBidi" w:hAnsiTheme="majorBidi" w:cstheme="majorBidi"/>
          <w:i/>
          <w:iCs/>
          <w:sz w:val="24"/>
          <w:szCs w:val="24"/>
        </w:rPr>
        <w:t xml:space="preserve">wanasarū </w:t>
      </w:r>
      <w:r w:rsidR="008B1D8F">
        <w:rPr>
          <w:rFonts w:asciiTheme="majorBidi" w:hAnsiTheme="majorBidi" w:cstheme="majorBidi"/>
          <w:sz w:val="24"/>
          <w:szCs w:val="24"/>
        </w:rPr>
        <w:t>(</w:t>
      </w:r>
      <w:r w:rsidR="00D763D2" w:rsidRPr="008B1D8F">
        <w:rPr>
          <w:rFonts w:asciiTheme="majorBidi" w:hAnsiTheme="majorBidi" w:cstheme="majorBidi"/>
          <w:sz w:val="24"/>
          <w:szCs w:val="24"/>
        </w:rPr>
        <w:t>saling tolong menolong</w:t>
      </w:r>
      <w:r w:rsidR="008B1D8F">
        <w:rPr>
          <w:rFonts w:asciiTheme="majorBidi" w:hAnsiTheme="majorBidi" w:cstheme="majorBidi"/>
          <w:sz w:val="24"/>
          <w:szCs w:val="24"/>
        </w:rPr>
        <w:t>)</w:t>
      </w:r>
      <w:r w:rsidR="00D763D2" w:rsidRPr="008B1D8F">
        <w:rPr>
          <w:rFonts w:asciiTheme="majorBidi" w:hAnsiTheme="majorBidi" w:cstheme="majorBidi"/>
          <w:sz w:val="24"/>
          <w:szCs w:val="24"/>
        </w:rPr>
        <w:t xml:space="preserve">, maksud ayat ini adalah kaum Anṣar yang berada di Madinah kala itu, namun jika ditarik dalam konteks sekarang tolong menolong adalah salah satu dakwah Islam yang santun, dari ketiga sifat tersebut adalah komponen </w:t>
      </w:r>
      <w:r w:rsidR="00D763D2" w:rsidRPr="008B1D8F">
        <w:rPr>
          <w:rFonts w:asciiTheme="majorBidi" w:hAnsiTheme="majorBidi" w:cstheme="majorBidi"/>
          <w:sz w:val="24"/>
          <w:szCs w:val="24"/>
        </w:rPr>
        <w:lastRenderedPageBreak/>
        <w:t xml:space="preserve">utama untuk menjadikan mukmin naik level mendapat predikat mukmin sejati.  </w:t>
      </w:r>
      <w:r w:rsidR="00D763D2" w:rsidRPr="008B1D8F">
        <w:rPr>
          <w:rFonts w:asciiTheme="majorBidi" w:hAnsiTheme="majorBidi" w:cstheme="majorBidi"/>
          <w:i/>
          <w:iCs/>
          <w:sz w:val="24"/>
          <w:szCs w:val="24"/>
        </w:rPr>
        <w:t xml:space="preserve"> </w:t>
      </w:r>
      <w:r w:rsidR="00D763D2" w:rsidRPr="008B1D8F">
        <w:rPr>
          <w:rFonts w:asciiTheme="majorBidi" w:hAnsiTheme="majorBidi" w:cstheme="majorBidi"/>
          <w:sz w:val="24"/>
          <w:szCs w:val="24"/>
        </w:rPr>
        <w:t xml:space="preserve"> </w:t>
      </w:r>
    </w:p>
    <w:p w:rsidR="00544B02" w:rsidRDefault="00544B02" w:rsidP="00E96482">
      <w:pPr>
        <w:jc w:val="both"/>
        <w:rPr>
          <w:rFonts w:asciiTheme="majorBidi" w:hAnsiTheme="majorBidi" w:cstheme="majorBidi"/>
          <w:b/>
          <w:bCs/>
          <w:sz w:val="24"/>
          <w:szCs w:val="24"/>
        </w:rPr>
      </w:pPr>
      <w:r>
        <w:rPr>
          <w:rFonts w:asciiTheme="majorBidi" w:hAnsiTheme="majorBidi" w:cstheme="majorBidi"/>
          <w:b/>
          <w:bCs/>
          <w:sz w:val="24"/>
          <w:szCs w:val="24"/>
        </w:rPr>
        <w:t xml:space="preserve">QS. </w:t>
      </w:r>
      <w:r w:rsidR="00AF013C">
        <w:rPr>
          <w:rFonts w:asciiTheme="majorBidi" w:hAnsiTheme="majorBidi" w:cstheme="majorBidi"/>
          <w:b/>
          <w:bCs/>
          <w:sz w:val="24"/>
          <w:szCs w:val="24"/>
        </w:rPr>
        <w:t>Al-Mu’minūn</w:t>
      </w:r>
      <w:r w:rsidR="005A7C62">
        <w:rPr>
          <w:rFonts w:asciiTheme="majorBidi" w:hAnsiTheme="majorBidi" w:cstheme="majorBidi"/>
          <w:b/>
          <w:bCs/>
          <w:sz w:val="24"/>
          <w:szCs w:val="24"/>
        </w:rPr>
        <w:t xml:space="preserve"> </w:t>
      </w:r>
      <w:r w:rsidR="00AF013C">
        <w:rPr>
          <w:rFonts w:asciiTheme="majorBidi" w:hAnsiTheme="majorBidi" w:cstheme="majorBidi"/>
          <w:b/>
          <w:bCs/>
          <w:sz w:val="24"/>
          <w:szCs w:val="24"/>
        </w:rPr>
        <w:t>(23)</w:t>
      </w:r>
      <w:r w:rsidR="005A7C62">
        <w:rPr>
          <w:rFonts w:asciiTheme="majorBidi" w:hAnsiTheme="majorBidi" w:cstheme="majorBidi"/>
          <w:b/>
          <w:bCs/>
          <w:sz w:val="24"/>
          <w:szCs w:val="24"/>
        </w:rPr>
        <w:t>:</w:t>
      </w:r>
      <w:r w:rsidR="00AF013C">
        <w:rPr>
          <w:rFonts w:asciiTheme="majorBidi" w:hAnsiTheme="majorBidi" w:cstheme="majorBidi"/>
          <w:b/>
          <w:bCs/>
          <w:sz w:val="24"/>
          <w:szCs w:val="24"/>
        </w:rPr>
        <w:t xml:space="preserve"> 1-11</w:t>
      </w:r>
    </w:p>
    <w:p w:rsidR="00E22AF5" w:rsidRPr="004B6425" w:rsidRDefault="006020F4" w:rsidP="00E96482">
      <w:pPr>
        <w:bidi/>
        <w:spacing w:line="240" w:lineRule="auto"/>
        <w:jc w:val="both"/>
        <w:rPr>
          <w:rFonts w:ascii="Times New Roman" w:hAnsi="Times New Roman" w:cs="Times New Roman"/>
          <w:i/>
          <w:iCs/>
          <w:color w:val="000000"/>
          <w:sz w:val="24"/>
          <w:szCs w:val="36"/>
        </w:rPr>
      </w:pPr>
      <w:r w:rsidRPr="004B6425">
        <w:rPr>
          <w:rFonts w:ascii="Traditional Arabic" w:hAnsi="Traditional Arabic" w:cs="Traditional Arabic"/>
          <w:color w:val="000000"/>
          <w:sz w:val="28"/>
          <w:szCs w:val="28"/>
          <w:rtl/>
          <w:lang w:val="en-US"/>
        </w:rPr>
        <w:t xml:space="preserve">قَدْ أَفْلَحَ الْمُؤْمِنُونَ (1) الَّذِينَ هُمْ فِي صَلَاتِهِمْ خَاشِعُونَ </w:t>
      </w:r>
      <w:r w:rsidR="00522E76" w:rsidRPr="004B6425">
        <w:rPr>
          <w:rFonts w:ascii="Traditional Arabic" w:hAnsi="Traditional Arabic" w:cs="Traditional Arabic"/>
          <w:color w:val="000000"/>
          <w:sz w:val="28"/>
          <w:szCs w:val="28"/>
          <w:rtl/>
          <w:lang w:val="en-US"/>
        </w:rPr>
        <w:t>﴿٢﴾</w:t>
      </w:r>
      <w:r w:rsidRPr="004B6425">
        <w:rPr>
          <w:rFonts w:ascii="Traditional Arabic" w:hAnsi="Traditional Arabic" w:cs="Traditional Arabic"/>
          <w:color w:val="000000"/>
          <w:sz w:val="28"/>
          <w:szCs w:val="28"/>
          <w:rtl/>
          <w:lang w:val="en-US"/>
        </w:rPr>
        <w:t xml:space="preserve"> وَالَّذِينَ هُمْ عَنِ اللَّغْوِ مُعْرِضُونَ </w:t>
      </w:r>
      <w:r w:rsidR="00522E76" w:rsidRPr="004B6425">
        <w:rPr>
          <w:rFonts w:ascii="Traditional Arabic" w:hAnsi="Traditional Arabic" w:cs="Traditional Arabic"/>
          <w:color w:val="000000"/>
          <w:sz w:val="28"/>
          <w:szCs w:val="28"/>
          <w:rtl/>
          <w:lang w:val="en-US"/>
        </w:rPr>
        <w:t>﴿٣﴾</w:t>
      </w:r>
      <w:r w:rsidRPr="004B6425">
        <w:rPr>
          <w:rFonts w:ascii="Traditional Arabic" w:hAnsi="Traditional Arabic" w:cs="Traditional Arabic"/>
          <w:color w:val="000000"/>
          <w:sz w:val="28"/>
          <w:szCs w:val="28"/>
          <w:rtl/>
          <w:lang w:val="en-US"/>
        </w:rPr>
        <w:t xml:space="preserve"> وَالَّذِينَ هُمْ لِلزَّكَاةِ فَاعِلُونَ </w:t>
      </w:r>
      <w:r w:rsidR="00522E76" w:rsidRPr="004B6425">
        <w:rPr>
          <w:rFonts w:ascii="Traditional Arabic" w:hAnsi="Traditional Arabic" w:cs="Traditional Arabic"/>
          <w:color w:val="000000"/>
          <w:sz w:val="28"/>
          <w:szCs w:val="28"/>
          <w:rtl/>
          <w:lang w:val="en-US"/>
        </w:rPr>
        <w:t>﴿٤﴾</w:t>
      </w:r>
      <w:r w:rsidR="00522E76" w:rsidRPr="004B6425">
        <w:rPr>
          <w:rFonts w:ascii="Traditional Arabic" w:hAnsi="Traditional Arabic" w:cs="Traditional Arabic"/>
          <w:color w:val="000000"/>
          <w:sz w:val="28"/>
          <w:szCs w:val="28"/>
        </w:rPr>
        <w:t xml:space="preserve"> </w:t>
      </w:r>
      <w:r w:rsidRPr="004B6425">
        <w:rPr>
          <w:rFonts w:ascii="Traditional Arabic" w:hAnsi="Traditional Arabic" w:cs="Traditional Arabic"/>
          <w:color w:val="000000"/>
          <w:sz w:val="28"/>
          <w:szCs w:val="28"/>
          <w:rtl/>
          <w:lang w:val="en-US"/>
        </w:rPr>
        <w:t xml:space="preserve">وَالَّذِينَ هُمْ لِفُرُوجِهِمْ حَافِظُونَ </w:t>
      </w:r>
      <w:r w:rsidR="00522E76" w:rsidRPr="004B6425">
        <w:rPr>
          <w:rFonts w:ascii="Traditional Arabic" w:hAnsi="Traditional Arabic" w:cs="Traditional Arabic"/>
          <w:color w:val="000000"/>
          <w:sz w:val="28"/>
          <w:szCs w:val="28"/>
          <w:rtl/>
          <w:lang w:val="en-US"/>
        </w:rPr>
        <w:t>﴿٥﴾</w:t>
      </w:r>
      <w:r w:rsidRPr="004B6425">
        <w:rPr>
          <w:rFonts w:ascii="Traditional Arabic" w:hAnsi="Traditional Arabic" w:cs="Traditional Arabic"/>
          <w:color w:val="000000"/>
          <w:sz w:val="28"/>
          <w:szCs w:val="28"/>
          <w:rtl/>
          <w:lang w:val="en-US"/>
        </w:rPr>
        <w:t xml:space="preserve"> إِلَّا عَلَى أَزْوَاجِهِمْ أَوْ مَا مَلَكَتْ أَيْمَانُهُمْ فَإِنَّهُمْ غَيْرُ مَلُومِينَ </w:t>
      </w:r>
      <w:r w:rsidR="00522E76" w:rsidRPr="004B6425">
        <w:rPr>
          <w:rFonts w:ascii="Traditional Arabic" w:hAnsi="Traditional Arabic" w:cs="Traditional Arabic"/>
          <w:color w:val="000000"/>
          <w:sz w:val="28"/>
          <w:szCs w:val="28"/>
          <w:rtl/>
          <w:lang w:val="en-US"/>
        </w:rPr>
        <w:t>﴿٦﴾</w:t>
      </w:r>
      <w:r w:rsidRPr="004B6425">
        <w:rPr>
          <w:rFonts w:ascii="Traditional Arabic" w:hAnsi="Traditional Arabic" w:cs="Traditional Arabic"/>
          <w:color w:val="000000"/>
          <w:sz w:val="28"/>
          <w:szCs w:val="28"/>
          <w:rtl/>
          <w:lang w:val="en-US"/>
        </w:rPr>
        <w:t xml:space="preserve"> فَمَنِ ابْتَغَى وَرَاءَ ذَلِكَ فَأُولَئِكَ هُمُ الْعَادُونَ </w:t>
      </w:r>
      <w:r w:rsidR="00522E76" w:rsidRPr="004B6425">
        <w:rPr>
          <w:rFonts w:ascii="Traditional Arabic" w:hAnsi="Traditional Arabic" w:cs="Traditional Arabic"/>
          <w:color w:val="000000"/>
          <w:sz w:val="28"/>
          <w:szCs w:val="28"/>
          <w:rtl/>
          <w:lang w:val="en-US"/>
        </w:rPr>
        <w:t>﴿٧﴾</w:t>
      </w:r>
      <w:r w:rsidRPr="004B6425">
        <w:rPr>
          <w:rFonts w:ascii="Traditional Arabic" w:hAnsi="Traditional Arabic" w:cs="Traditional Arabic"/>
          <w:color w:val="000000"/>
          <w:sz w:val="28"/>
          <w:szCs w:val="28"/>
          <w:rtl/>
          <w:lang w:val="en-US"/>
        </w:rPr>
        <w:t xml:space="preserve"> وَالَّذِينَ هُمْ لِأَمَانَاتِهِمْ وَعَهْدِهِمْ رَاعُونَ </w:t>
      </w:r>
      <w:r w:rsidR="00522E76" w:rsidRPr="004B6425">
        <w:rPr>
          <w:rFonts w:ascii="Traditional Arabic" w:hAnsi="Traditional Arabic" w:cs="Traditional Arabic"/>
          <w:color w:val="000000"/>
          <w:sz w:val="28"/>
          <w:szCs w:val="28"/>
          <w:rtl/>
          <w:lang w:val="en-US"/>
        </w:rPr>
        <w:t>﴿٨﴾</w:t>
      </w:r>
      <w:r w:rsidRPr="004B6425">
        <w:rPr>
          <w:rFonts w:ascii="Traditional Arabic" w:hAnsi="Traditional Arabic" w:cs="Traditional Arabic"/>
          <w:color w:val="000000"/>
          <w:sz w:val="28"/>
          <w:szCs w:val="28"/>
          <w:rtl/>
          <w:lang w:val="en-US"/>
        </w:rPr>
        <w:t xml:space="preserve"> وَالَّذِينَ هُمْ عَلَى صَلَوَاتِهِمْ يُحَافِظُونَ </w:t>
      </w:r>
      <w:r w:rsidR="00522E76" w:rsidRPr="004B6425">
        <w:rPr>
          <w:rFonts w:ascii="Traditional Arabic" w:hAnsi="Traditional Arabic" w:cs="Traditional Arabic"/>
          <w:color w:val="000000"/>
          <w:sz w:val="28"/>
          <w:szCs w:val="28"/>
          <w:rtl/>
          <w:lang w:val="en-US"/>
        </w:rPr>
        <w:t>﴿٩﴾</w:t>
      </w:r>
      <w:r w:rsidRPr="004B6425">
        <w:rPr>
          <w:rFonts w:ascii="Traditional Arabic" w:hAnsi="Traditional Arabic" w:cs="Traditional Arabic"/>
          <w:color w:val="000000"/>
          <w:sz w:val="28"/>
          <w:szCs w:val="28"/>
          <w:rtl/>
          <w:lang w:val="en-US"/>
        </w:rPr>
        <w:t xml:space="preserve"> أُولَئِكَ هُمُ الْوَارِثُونَ </w:t>
      </w:r>
      <w:r w:rsidR="00522E76" w:rsidRPr="004B6425">
        <w:rPr>
          <w:rFonts w:ascii="Traditional Arabic" w:hAnsi="Traditional Arabic" w:cs="Traditional Arabic"/>
          <w:color w:val="000000"/>
          <w:sz w:val="28"/>
          <w:szCs w:val="28"/>
          <w:rtl/>
          <w:lang w:val="en-US"/>
        </w:rPr>
        <w:t>﴿۱۰﴾</w:t>
      </w:r>
      <w:r w:rsidRPr="004B6425">
        <w:rPr>
          <w:rFonts w:ascii="Traditional Arabic" w:hAnsi="Traditional Arabic" w:cs="Traditional Arabic"/>
          <w:color w:val="000000"/>
          <w:sz w:val="28"/>
          <w:szCs w:val="28"/>
          <w:rtl/>
          <w:lang w:val="en-US"/>
        </w:rPr>
        <w:t xml:space="preserve"> الَّذِينَ يَرِثُونَ الْفِرْدَوْسَ هُمْ فِيهَا خَالِدُونَ </w:t>
      </w:r>
      <w:r w:rsidR="00522E76" w:rsidRPr="004B6425">
        <w:rPr>
          <w:rFonts w:ascii="Traditional Arabic" w:hAnsi="Traditional Arabic" w:cs="Traditional Arabic"/>
          <w:color w:val="000000"/>
          <w:sz w:val="28"/>
          <w:szCs w:val="28"/>
          <w:rtl/>
          <w:lang w:val="en-US"/>
        </w:rPr>
        <w:t>﴿۱۱﴾</w:t>
      </w:r>
    </w:p>
    <w:p w:rsidR="00E22AF5" w:rsidRDefault="004B6425" w:rsidP="00E96482">
      <w:pPr>
        <w:spacing w:line="240" w:lineRule="auto"/>
        <w:ind w:left="720"/>
        <w:jc w:val="both"/>
        <w:rPr>
          <w:rFonts w:ascii="Times New Roman" w:hAnsi="Times New Roman" w:cs="Times New Roman"/>
          <w:i/>
          <w:iCs/>
          <w:sz w:val="24"/>
          <w:szCs w:val="20"/>
        </w:rPr>
      </w:pPr>
      <w:r>
        <w:rPr>
          <w:rFonts w:ascii="Times New Roman" w:hAnsi="Times New Roman" w:cs="Times New Roman"/>
          <w:i/>
          <w:iCs/>
          <w:sz w:val="24"/>
          <w:szCs w:val="20"/>
        </w:rPr>
        <w:t>“</w:t>
      </w:r>
      <w:r w:rsidR="00E22AF5" w:rsidRPr="004B6425">
        <w:rPr>
          <w:rFonts w:ascii="Times New Roman" w:hAnsi="Times New Roman" w:cs="Times New Roman"/>
          <w:i/>
          <w:iCs/>
          <w:sz w:val="24"/>
          <w:szCs w:val="20"/>
        </w:rPr>
        <w:t>Sungguh beruntung orang-orang yang beriman, (yaitu) orang yang khusyuk dalam salatnya, dan orang yang menjauhkan diri dari (perbuatan dan perkataan) yang tidak berguna, dan orang yang menunaikan zakat, dan orang yang memelihara kemaluannya, kecuali terhadap istri-istri mereka atau hamba sahaya yang mereka miliki; maka sesungguhnya mereka tidak tercela. Tetapi barang siapa mencari di balik itu (zina, dan sebagainya), maka mereka itulah orang-orang yang melampaui batas. Dan (sungguh beruntung) orang yang memelihara amanat-amanat dan janjinya, serta orang yang memelihara salatnya. Mereka itulah orang yang akan mewarisi, (yakni) yang akan mewarisi (surga) Firdaus. Mereka kekal di dalamnya.</w:t>
      </w:r>
      <w:r>
        <w:rPr>
          <w:rFonts w:ascii="Times New Roman" w:hAnsi="Times New Roman" w:cs="Times New Roman"/>
          <w:i/>
          <w:iCs/>
          <w:sz w:val="24"/>
          <w:szCs w:val="20"/>
        </w:rPr>
        <w:t>”</w:t>
      </w:r>
    </w:p>
    <w:p w:rsidR="008B1D8F" w:rsidRDefault="009613BB" w:rsidP="00E96482">
      <w:pPr>
        <w:spacing w:after="0" w:line="360" w:lineRule="auto"/>
        <w:ind w:firstLine="720"/>
        <w:jc w:val="both"/>
        <w:rPr>
          <w:rFonts w:ascii="Times New Roman" w:hAnsi="Times New Roman" w:cs="Times New Roman"/>
          <w:sz w:val="24"/>
          <w:szCs w:val="20"/>
        </w:rPr>
      </w:pPr>
      <w:r>
        <w:rPr>
          <w:rFonts w:ascii="Times New Roman" w:hAnsi="Times New Roman" w:cs="Times New Roman"/>
          <w:sz w:val="24"/>
          <w:szCs w:val="20"/>
        </w:rPr>
        <w:t xml:space="preserve">Pengertian orang mukmin secara global dapat dipahami dari ayat ini adalah kesembingan dalam menjalankan ibadah. Sudah selayaknya orang mukmin memiliki </w:t>
      </w:r>
      <w:r>
        <w:rPr>
          <w:rFonts w:ascii="Times New Roman" w:hAnsi="Times New Roman" w:cs="Times New Roman"/>
          <w:i/>
          <w:iCs/>
          <w:sz w:val="24"/>
          <w:szCs w:val="20"/>
        </w:rPr>
        <w:t>balance</w:t>
      </w:r>
      <w:r>
        <w:rPr>
          <w:rFonts w:ascii="Times New Roman" w:hAnsi="Times New Roman" w:cs="Times New Roman"/>
          <w:sz w:val="24"/>
          <w:szCs w:val="20"/>
        </w:rPr>
        <w:t xml:space="preserve"> terhadap urusan dunia dan akhirat</w:t>
      </w:r>
      <w:r w:rsidR="0042217C">
        <w:rPr>
          <w:rFonts w:ascii="Times New Roman" w:hAnsi="Times New Roman" w:cs="Times New Roman"/>
          <w:sz w:val="24"/>
          <w:szCs w:val="20"/>
        </w:rPr>
        <w:t xml:space="preserve">. Dapat dilihat setidaknya dimensi ibadah individual seperti shalat secara khusyu’, </w:t>
      </w:r>
      <w:r w:rsidR="0042217C">
        <w:rPr>
          <w:rFonts w:ascii="Times New Roman" w:hAnsi="Times New Roman" w:cs="Times New Roman"/>
          <w:sz w:val="24"/>
          <w:szCs w:val="20"/>
        </w:rPr>
        <w:lastRenderedPageBreak/>
        <w:t>menjaga kemaluan atau seksualitas hanya dengan cara yang sah (hanya dengan istri maupun budak dulu di awal Islam), sebagai orang mukmin merupakan orang yang senantiasa menjaga kewajiban. Selain itu dimensi sosial seperti tidak melakukan perkara yang sia-sia dengan selalu menghiasi diri dengan perilaku yang bermanfaat, menuanikan zakat, dan berinteraksi secara baik dengan menepati janji dan tanggung jawab. Dari ayat diatas setidaknya terdapat enam poin penting pribadi untuk menjadi seorang mukmin.</w:t>
      </w:r>
    </w:p>
    <w:p w:rsidR="00E22AF5" w:rsidRPr="009B54D6" w:rsidRDefault="0042217C" w:rsidP="00E96482">
      <w:pPr>
        <w:spacing w:after="0" w:line="360" w:lineRule="auto"/>
        <w:ind w:firstLine="720"/>
        <w:jc w:val="both"/>
        <w:rPr>
          <w:rFonts w:ascii="Times New Roman" w:hAnsi="Times New Roman" w:cs="Times New Roman"/>
          <w:sz w:val="24"/>
          <w:szCs w:val="20"/>
        </w:rPr>
      </w:pPr>
      <w:r>
        <w:rPr>
          <w:rFonts w:ascii="Times New Roman" w:hAnsi="Times New Roman" w:cs="Times New Roman"/>
          <w:sz w:val="24"/>
          <w:szCs w:val="20"/>
        </w:rPr>
        <w:t>Lebih lanjut lagi,</w:t>
      </w:r>
      <w:r w:rsidR="00B0695B">
        <w:rPr>
          <w:rFonts w:ascii="Times New Roman" w:hAnsi="Times New Roman" w:cs="Times New Roman"/>
          <w:sz w:val="24"/>
          <w:szCs w:val="20"/>
        </w:rPr>
        <w:t xml:space="preserve"> Imam </w:t>
      </w:r>
      <w:r w:rsidR="00921ECF">
        <w:rPr>
          <w:rFonts w:ascii="Times New Roman" w:hAnsi="Times New Roman" w:cs="Times New Roman"/>
          <w:sz w:val="24"/>
          <w:szCs w:val="20"/>
        </w:rPr>
        <w:t>Jalaluddin al-Suyuti</w:t>
      </w:r>
      <w:r w:rsidR="00B0695B">
        <w:rPr>
          <w:rFonts w:ascii="Times New Roman" w:hAnsi="Times New Roman" w:cs="Times New Roman"/>
          <w:sz w:val="24"/>
          <w:szCs w:val="20"/>
        </w:rPr>
        <w:t xml:space="preserve"> dalam ayat ini menafsirkan bahwa sungguh orang mukmin memiliki keberuntungan di dunia maupun di akhirat. </w:t>
      </w:r>
      <w:r w:rsidR="00261BE2">
        <w:rPr>
          <w:rFonts w:ascii="Times New Roman" w:hAnsi="Times New Roman" w:cs="Times New Roman"/>
          <w:sz w:val="24"/>
          <w:szCs w:val="20"/>
        </w:rPr>
        <w:t xml:space="preserve">Seorang mukmin merupakan orang yang melakukan shalat dengan khusyu’ dengan merendahkan diri dihadapan Allah. Orang mukmin adalah orang yang menjauhi diri dari perbuatan yang tidak berguna semisal ucapan, perbuatan dan lain macam sebagainya. Orang mukmin adalah orang-orang yang melakukan zakat dengan menuanikannya. Orang mukmin adalah orang yang menjaga kemaluannya (seksualitas) dari keharaman kecuali atas istri atau hamba sahaya yang dimiliki (selir) </w:t>
      </w:r>
      <w:r w:rsidR="00B0695B">
        <w:rPr>
          <w:rFonts w:ascii="Times New Roman" w:hAnsi="Times New Roman" w:cs="Times New Roman"/>
          <w:sz w:val="24"/>
          <w:szCs w:val="20"/>
        </w:rPr>
        <w:t xml:space="preserve"> </w:t>
      </w:r>
      <w:r w:rsidR="00261BE2">
        <w:rPr>
          <w:rFonts w:ascii="Times New Roman" w:hAnsi="Times New Roman" w:cs="Times New Roman"/>
          <w:sz w:val="24"/>
          <w:szCs w:val="20"/>
        </w:rPr>
        <w:t xml:space="preserve">itu menjadi tidak masalah (dizaman masih terdapat budak), apabila mencari kepuasan seksual selain dengan istri dan hamba sahaya seperti onani maka hal demikian telah melampaui batas dengan melakukan </w:t>
      </w:r>
      <w:r w:rsidR="00261BE2">
        <w:rPr>
          <w:rFonts w:ascii="Times New Roman" w:hAnsi="Times New Roman" w:cs="Times New Roman"/>
          <w:sz w:val="24"/>
          <w:szCs w:val="20"/>
        </w:rPr>
        <w:lastRenderedPageBreak/>
        <w:t xml:space="preserve">perbuatan yang tidak halal. Orang mukmin adalah orang yang menepati janji dan bertanggung jawab baik secara personal maupun kelompok atas hubungan dengan sesama manusia seperti mu’āmalah maupun hubungan dengan Allah seperti ibadah shalat </w:t>
      </w:r>
      <w:r w:rsidR="009B54D6">
        <w:rPr>
          <w:rFonts w:ascii="Times New Roman" w:hAnsi="Times New Roman" w:cs="Times New Roman"/>
          <w:sz w:val="24"/>
          <w:szCs w:val="20"/>
        </w:rPr>
        <w:t xml:space="preserve">lima waktu </w:t>
      </w:r>
      <w:r w:rsidR="00261BE2">
        <w:rPr>
          <w:rFonts w:ascii="Times New Roman" w:hAnsi="Times New Roman" w:cs="Times New Roman"/>
          <w:sz w:val="24"/>
          <w:szCs w:val="20"/>
        </w:rPr>
        <w:t>dan sebagainya</w:t>
      </w:r>
      <w:r w:rsidR="009B54D6">
        <w:rPr>
          <w:rStyle w:val="FootnoteReference"/>
          <w:rFonts w:ascii="Times New Roman" w:hAnsi="Times New Roman" w:cs="Times New Roman"/>
          <w:sz w:val="24"/>
          <w:szCs w:val="20"/>
        </w:rPr>
        <w:footnoteReference w:id="26"/>
      </w:r>
      <w:r w:rsidR="00261BE2">
        <w:rPr>
          <w:rFonts w:ascii="Times New Roman" w:hAnsi="Times New Roman" w:cs="Times New Roman"/>
          <w:sz w:val="24"/>
          <w:szCs w:val="20"/>
        </w:rPr>
        <w:t>.</w:t>
      </w:r>
    </w:p>
    <w:p w:rsidR="00AF013C" w:rsidRPr="006E2359" w:rsidRDefault="009C5CA9" w:rsidP="00E96482">
      <w:pPr>
        <w:jc w:val="both"/>
        <w:rPr>
          <w:rFonts w:asciiTheme="majorBidi" w:hAnsiTheme="majorBidi" w:cstheme="majorBidi"/>
          <w:sz w:val="24"/>
          <w:szCs w:val="24"/>
        </w:rPr>
      </w:pPr>
      <w:r>
        <w:rPr>
          <w:rFonts w:asciiTheme="majorBidi" w:hAnsiTheme="majorBidi" w:cstheme="majorBidi"/>
          <w:b/>
          <w:bCs/>
          <w:sz w:val="24"/>
          <w:szCs w:val="24"/>
        </w:rPr>
        <w:t>QS. Al-Ḥ</w:t>
      </w:r>
      <w:r w:rsidR="00AF013C">
        <w:rPr>
          <w:rFonts w:asciiTheme="majorBidi" w:hAnsiTheme="majorBidi" w:cstheme="majorBidi"/>
          <w:b/>
          <w:bCs/>
          <w:sz w:val="24"/>
          <w:szCs w:val="24"/>
        </w:rPr>
        <w:t>ujur</w:t>
      </w:r>
      <w:r w:rsidR="005A7C62">
        <w:rPr>
          <w:rFonts w:asciiTheme="majorBidi" w:hAnsiTheme="majorBidi" w:cstheme="majorBidi"/>
          <w:b/>
          <w:bCs/>
          <w:sz w:val="24"/>
          <w:szCs w:val="24"/>
        </w:rPr>
        <w:t>ā</w:t>
      </w:r>
      <w:r w:rsidR="00AF013C">
        <w:rPr>
          <w:rFonts w:asciiTheme="majorBidi" w:hAnsiTheme="majorBidi" w:cstheme="majorBidi"/>
          <w:b/>
          <w:bCs/>
          <w:sz w:val="24"/>
          <w:szCs w:val="24"/>
        </w:rPr>
        <w:t>t (49): 10</w:t>
      </w:r>
    </w:p>
    <w:p w:rsidR="006020F4" w:rsidRPr="006E2359" w:rsidRDefault="006020F4" w:rsidP="00E96482">
      <w:pPr>
        <w:bidi/>
        <w:jc w:val="both"/>
        <w:rPr>
          <w:rFonts w:ascii="Traditional Arabic" w:hAnsi="Traditional Arabic" w:cs="Traditional Arabic"/>
          <w:color w:val="000000"/>
          <w:sz w:val="28"/>
          <w:szCs w:val="28"/>
        </w:rPr>
      </w:pPr>
      <w:r w:rsidRPr="006E2359">
        <w:rPr>
          <w:rFonts w:ascii="Traditional Arabic" w:hAnsi="Traditional Arabic" w:cs="Traditional Arabic"/>
          <w:color w:val="000000"/>
          <w:sz w:val="28"/>
          <w:szCs w:val="28"/>
          <w:rtl/>
          <w:lang w:val="en-US"/>
        </w:rPr>
        <w:t xml:space="preserve">إِنَّمَا الْمُؤْمِنُونَ إِخْوَةٌ فَأَصْلِحُوا بَيْنَ أَخَوَيْكُمْ وَاتَّقُوا اللَّهَ لَعَلَّكُمْ تُرْحَمُونَ </w:t>
      </w:r>
      <w:r w:rsidR="00522E76" w:rsidRPr="006E2359">
        <w:rPr>
          <w:rFonts w:ascii="Traditional Arabic" w:hAnsi="Traditional Arabic" w:cs="Traditional Arabic"/>
          <w:color w:val="000000"/>
          <w:sz w:val="28"/>
          <w:szCs w:val="28"/>
          <w:rtl/>
          <w:lang w:val="en-US"/>
        </w:rPr>
        <w:t>﴿۱۰﴾</w:t>
      </w:r>
    </w:p>
    <w:p w:rsidR="00E22AF5" w:rsidRPr="006E2359" w:rsidRDefault="006E2359" w:rsidP="00E96482">
      <w:pPr>
        <w:spacing w:line="240" w:lineRule="auto"/>
        <w:ind w:left="720"/>
        <w:jc w:val="both"/>
        <w:rPr>
          <w:rFonts w:ascii="Times New Roman" w:hAnsi="Times New Roman" w:cs="Times New Roman"/>
          <w:i/>
          <w:iCs/>
          <w:sz w:val="24"/>
          <w:szCs w:val="20"/>
        </w:rPr>
      </w:pPr>
      <w:r>
        <w:rPr>
          <w:rFonts w:ascii="Times New Roman" w:hAnsi="Times New Roman" w:cs="Times New Roman"/>
          <w:i/>
          <w:iCs/>
          <w:sz w:val="24"/>
          <w:szCs w:val="20"/>
        </w:rPr>
        <w:t>“</w:t>
      </w:r>
      <w:r w:rsidR="00E22AF5" w:rsidRPr="006E2359">
        <w:rPr>
          <w:rFonts w:ascii="Times New Roman" w:hAnsi="Times New Roman" w:cs="Times New Roman"/>
          <w:i/>
          <w:iCs/>
          <w:sz w:val="24"/>
          <w:szCs w:val="20"/>
        </w:rPr>
        <w:t>Sesungguhnya orang-orang mukmin itu bersaudara, karena itu damaikanlah antara kedua saudaramu (yang berselisih) dan bertakwalah kepada Allah agar kamu mendapat rahmat</w:t>
      </w:r>
      <w:r>
        <w:rPr>
          <w:rFonts w:ascii="Times New Roman" w:hAnsi="Times New Roman" w:cs="Times New Roman"/>
          <w:i/>
          <w:iCs/>
          <w:sz w:val="24"/>
          <w:szCs w:val="20"/>
        </w:rPr>
        <w:t>”</w:t>
      </w:r>
      <w:r w:rsidR="00E22AF5" w:rsidRPr="006E2359">
        <w:rPr>
          <w:rFonts w:ascii="Times New Roman" w:hAnsi="Times New Roman" w:cs="Times New Roman"/>
          <w:i/>
          <w:iCs/>
          <w:sz w:val="24"/>
          <w:szCs w:val="20"/>
        </w:rPr>
        <w:t xml:space="preserve">. </w:t>
      </w:r>
    </w:p>
    <w:p w:rsidR="00921ECF" w:rsidRDefault="009B54D6" w:rsidP="00E96482">
      <w:pPr>
        <w:spacing w:line="360" w:lineRule="auto"/>
        <w:jc w:val="both"/>
        <w:rPr>
          <w:rFonts w:ascii="Times New Roman" w:hAnsi="Times New Roman" w:cs="Times New Roman"/>
          <w:sz w:val="24"/>
          <w:szCs w:val="20"/>
        </w:rPr>
      </w:pPr>
      <w:r>
        <w:rPr>
          <w:rFonts w:ascii="Arial" w:hAnsi="Arial" w:cs="Arial"/>
          <w:b/>
          <w:bCs/>
          <w:sz w:val="20"/>
          <w:szCs w:val="16"/>
        </w:rPr>
        <w:tab/>
      </w:r>
      <w:r w:rsidRPr="00921ECF">
        <w:rPr>
          <w:rFonts w:ascii="Times New Roman" w:hAnsi="Times New Roman" w:cs="Times New Roman"/>
          <w:sz w:val="24"/>
          <w:szCs w:val="20"/>
        </w:rPr>
        <w:t xml:space="preserve">Ayat diatas mengindikasikan tentang toleransi dan </w:t>
      </w:r>
      <w:r w:rsidR="00921ECF" w:rsidRPr="00921ECF">
        <w:rPr>
          <w:rFonts w:ascii="Times New Roman" w:hAnsi="Times New Roman" w:cs="Times New Roman"/>
          <w:sz w:val="24"/>
          <w:szCs w:val="20"/>
        </w:rPr>
        <w:t xml:space="preserve">pentingnya </w:t>
      </w:r>
      <w:r w:rsidRPr="00921ECF">
        <w:rPr>
          <w:rFonts w:ascii="Times New Roman" w:hAnsi="Times New Roman" w:cs="Times New Roman"/>
          <w:sz w:val="24"/>
          <w:szCs w:val="20"/>
        </w:rPr>
        <w:t xml:space="preserve">kerukunan. Orang mukmin merupakan orang yang menganut ajaran nabi Muhammad sebagai utusan sekaligus </w:t>
      </w:r>
      <w:r w:rsidRPr="00921ECF">
        <w:rPr>
          <w:rFonts w:ascii="Times New Roman" w:hAnsi="Times New Roman" w:cs="Times New Roman"/>
          <w:i/>
          <w:iCs/>
          <w:sz w:val="24"/>
          <w:szCs w:val="20"/>
        </w:rPr>
        <w:t xml:space="preserve">rahmatan lil ālamīn </w:t>
      </w:r>
      <w:r w:rsidRPr="00921ECF">
        <w:rPr>
          <w:rFonts w:ascii="Times New Roman" w:hAnsi="Times New Roman" w:cs="Times New Roman"/>
          <w:sz w:val="24"/>
          <w:szCs w:val="20"/>
        </w:rPr>
        <w:t xml:space="preserve">(kasih sayang bagi seluruh alam). Sebagaimana tujuan nabi diutus di bumi tidak lain adalah untuk saling mengasihi. Namun dewasa ini terdapat kelompok orang Islam yang melakukan tindakan tidak terpuji dengan intoleransi terhadap sesama muslim maupun kepada non-muslim. Hal demikian ini merupakan tindakan yang tidak sesuai dengan sejarah perilaku nabi ketika berada di Madinah yang </w:t>
      </w:r>
      <w:r w:rsidR="00921ECF" w:rsidRPr="00921ECF">
        <w:rPr>
          <w:rFonts w:ascii="Times New Roman" w:hAnsi="Times New Roman" w:cs="Times New Roman"/>
          <w:sz w:val="24"/>
          <w:szCs w:val="20"/>
        </w:rPr>
        <w:t>bersikap</w:t>
      </w:r>
      <w:r w:rsidRPr="00921ECF">
        <w:rPr>
          <w:rFonts w:ascii="Times New Roman" w:hAnsi="Times New Roman" w:cs="Times New Roman"/>
          <w:sz w:val="24"/>
          <w:szCs w:val="20"/>
        </w:rPr>
        <w:t xml:space="preserve"> ramah dengan kaumYahudi dan Nasrani selama </w:t>
      </w:r>
      <w:r w:rsidR="00921ECF" w:rsidRPr="00921ECF">
        <w:rPr>
          <w:rFonts w:ascii="Times New Roman" w:hAnsi="Times New Roman" w:cs="Times New Roman"/>
          <w:sz w:val="24"/>
          <w:szCs w:val="20"/>
        </w:rPr>
        <w:t xml:space="preserve">dapat </w:t>
      </w:r>
      <w:r w:rsidRPr="00921ECF">
        <w:rPr>
          <w:rFonts w:ascii="Times New Roman" w:hAnsi="Times New Roman" w:cs="Times New Roman"/>
          <w:sz w:val="24"/>
          <w:szCs w:val="20"/>
        </w:rPr>
        <w:t xml:space="preserve">hidup berdampingan </w:t>
      </w:r>
      <w:r w:rsidRPr="00921ECF">
        <w:rPr>
          <w:rFonts w:ascii="Times New Roman" w:hAnsi="Times New Roman" w:cs="Times New Roman"/>
          <w:sz w:val="24"/>
          <w:szCs w:val="20"/>
        </w:rPr>
        <w:lastRenderedPageBreak/>
        <w:t>dengan aman dan tidak melakukan peperangan, nabi ditengah masyarakat Madinah yang</w:t>
      </w:r>
      <w:r w:rsidR="00921ECF">
        <w:rPr>
          <w:rFonts w:ascii="Times New Roman" w:hAnsi="Times New Roman" w:cs="Times New Roman"/>
          <w:sz w:val="24"/>
          <w:szCs w:val="20"/>
        </w:rPr>
        <w:t xml:space="preserve"> multikultural mampu merukunkan, dengan saling menjaga </w:t>
      </w:r>
      <w:r w:rsidRPr="00921ECF">
        <w:rPr>
          <w:rFonts w:ascii="Times New Roman" w:hAnsi="Times New Roman" w:cs="Times New Roman"/>
          <w:sz w:val="24"/>
          <w:szCs w:val="20"/>
        </w:rPr>
        <w:t>dan mempersatukan persaudaraan</w:t>
      </w:r>
      <w:r w:rsidR="00921ECF" w:rsidRPr="00921ECF">
        <w:rPr>
          <w:rStyle w:val="FootnoteReference"/>
          <w:rFonts w:ascii="Times New Roman" w:hAnsi="Times New Roman" w:cs="Times New Roman"/>
          <w:sz w:val="24"/>
          <w:szCs w:val="20"/>
        </w:rPr>
        <w:footnoteReference w:id="27"/>
      </w:r>
      <w:r w:rsidRPr="00921ECF">
        <w:rPr>
          <w:rFonts w:ascii="Times New Roman" w:hAnsi="Times New Roman" w:cs="Times New Roman"/>
          <w:sz w:val="24"/>
          <w:szCs w:val="20"/>
        </w:rPr>
        <w:t>.</w:t>
      </w:r>
    </w:p>
    <w:p w:rsidR="00E22AF5" w:rsidRPr="00921ECF" w:rsidRDefault="00921ECF" w:rsidP="00E96482">
      <w:pPr>
        <w:spacing w:line="360" w:lineRule="auto"/>
        <w:jc w:val="both"/>
        <w:rPr>
          <w:rFonts w:ascii="Times New Roman" w:hAnsi="Times New Roman" w:cs="Times New Roman"/>
          <w:sz w:val="24"/>
          <w:szCs w:val="20"/>
        </w:rPr>
      </w:pPr>
      <w:r>
        <w:rPr>
          <w:rFonts w:ascii="Times New Roman" w:hAnsi="Times New Roman" w:cs="Times New Roman"/>
          <w:sz w:val="24"/>
          <w:szCs w:val="20"/>
        </w:rPr>
        <w:tab/>
        <w:t>Sehubungan dengan penafsiran ayat tersebut Imam Jalāluddin al-Maḥalli memberikan uraian yang komprehensif mengenai ayat diatas.</w:t>
      </w:r>
      <w:r w:rsidR="009C5CA9">
        <w:rPr>
          <w:rFonts w:ascii="Times New Roman" w:hAnsi="Times New Roman" w:cs="Times New Roman"/>
          <w:sz w:val="24"/>
          <w:szCs w:val="20"/>
        </w:rPr>
        <w:t xml:space="preserve"> Bahwa setiap mukmin satu dengan yang lainnya merupakan saudara seiman dalam agama yaitu saudara dalam ketaatan terhadap Allah SWT.</w:t>
      </w:r>
      <w:r w:rsidR="008E45D4">
        <w:rPr>
          <w:rFonts w:ascii="Times New Roman" w:hAnsi="Times New Roman" w:cs="Times New Roman"/>
          <w:sz w:val="24"/>
          <w:szCs w:val="20"/>
        </w:rPr>
        <w:t xml:space="preserve">, maka sudah barang tentu rasa persaudaraan harus dijunjung dengan tinggi mengingat dalam kehidupan pasti menemui konflik, Imam Jalāluddin al-Maḥalli menyebut dengan kata </w:t>
      </w:r>
      <w:r w:rsidR="008E45D4">
        <w:rPr>
          <w:rFonts w:ascii="Times New Roman" w:hAnsi="Times New Roman" w:cs="Times New Roman"/>
          <w:i/>
          <w:iCs/>
          <w:sz w:val="24"/>
          <w:szCs w:val="20"/>
        </w:rPr>
        <w:t xml:space="preserve">naza’a </w:t>
      </w:r>
      <w:r w:rsidR="008E45D4">
        <w:rPr>
          <w:rFonts w:ascii="Times New Roman" w:hAnsi="Times New Roman" w:cs="Times New Roman"/>
          <w:sz w:val="24"/>
          <w:szCs w:val="20"/>
        </w:rPr>
        <w:t>yang berarti mencabut, mengganggu eksistensi persaudaraan.</w:t>
      </w:r>
      <w:r w:rsidR="008E45D4">
        <w:rPr>
          <w:rStyle w:val="FootnoteReference"/>
          <w:rFonts w:ascii="Times New Roman" w:hAnsi="Times New Roman" w:cs="Times New Roman"/>
          <w:sz w:val="24"/>
          <w:szCs w:val="20"/>
        </w:rPr>
        <w:footnoteReference w:id="28"/>
      </w:r>
      <w:r w:rsidR="008E45D4">
        <w:rPr>
          <w:rFonts w:ascii="Times New Roman" w:hAnsi="Times New Roman" w:cs="Times New Roman"/>
          <w:sz w:val="24"/>
          <w:szCs w:val="20"/>
        </w:rPr>
        <w:t xml:space="preserve"> </w:t>
      </w:r>
      <w:r>
        <w:rPr>
          <w:rFonts w:ascii="Times New Roman" w:hAnsi="Times New Roman" w:cs="Times New Roman"/>
          <w:sz w:val="24"/>
          <w:szCs w:val="20"/>
        </w:rPr>
        <w:tab/>
      </w:r>
      <w:r w:rsidR="008E45D4">
        <w:rPr>
          <w:rFonts w:ascii="Times New Roman" w:hAnsi="Times New Roman" w:cs="Times New Roman"/>
          <w:sz w:val="24"/>
          <w:szCs w:val="20"/>
        </w:rPr>
        <w:t>Diakhir ayat Allah berfirman untuk selalu bertaqwa kepada Allah dengan menjaga persaudaraan sebagai sarana penjagaan kasih sayang baik antar sesama muslim (seagama dan seiman), maupun non-muslim (selain seagama dan seiman) tetap harus saling menjaga kerukunan.</w:t>
      </w:r>
      <w:r w:rsidR="009B54D6" w:rsidRPr="00921ECF">
        <w:rPr>
          <w:rFonts w:ascii="Times New Roman" w:hAnsi="Times New Roman" w:cs="Times New Roman"/>
          <w:sz w:val="24"/>
          <w:szCs w:val="20"/>
        </w:rPr>
        <w:t xml:space="preserve"> </w:t>
      </w:r>
    </w:p>
    <w:p w:rsidR="00AF013C" w:rsidRDefault="009C5CA9" w:rsidP="00E96482">
      <w:pPr>
        <w:jc w:val="both"/>
        <w:rPr>
          <w:rFonts w:asciiTheme="majorBidi" w:hAnsiTheme="majorBidi" w:cstheme="majorBidi"/>
          <w:b/>
          <w:bCs/>
          <w:sz w:val="24"/>
          <w:szCs w:val="24"/>
        </w:rPr>
      </w:pPr>
      <w:r>
        <w:rPr>
          <w:rFonts w:asciiTheme="majorBidi" w:hAnsiTheme="majorBidi" w:cstheme="majorBidi"/>
          <w:b/>
          <w:bCs/>
          <w:sz w:val="24"/>
          <w:szCs w:val="24"/>
        </w:rPr>
        <w:t>QS. Al-Ḥ</w:t>
      </w:r>
      <w:r w:rsidR="00AF013C">
        <w:rPr>
          <w:rFonts w:asciiTheme="majorBidi" w:hAnsiTheme="majorBidi" w:cstheme="majorBidi"/>
          <w:b/>
          <w:bCs/>
          <w:sz w:val="24"/>
          <w:szCs w:val="24"/>
        </w:rPr>
        <w:t>ujur</w:t>
      </w:r>
      <w:r w:rsidR="005A7C62">
        <w:rPr>
          <w:rFonts w:asciiTheme="majorBidi" w:hAnsiTheme="majorBidi" w:cstheme="majorBidi"/>
          <w:b/>
          <w:bCs/>
          <w:sz w:val="24"/>
          <w:szCs w:val="24"/>
        </w:rPr>
        <w:t>ā</w:t>
      </w:r>
      <w:r w:rsidR="00AF013C">
        <w:rPr>
          <w:rFonts w:asciiTheme="majorBidi" w:hAnsiTheme="majorBidi" w:cstheme="majorBidi"/>
          <w:b/>
          <w:bCs/>
          <w:sz w:val="24"/>
          <w:szCs w:val="24"/>
        </w:rPr>
        <w:t>t (49): 15</w:t>
      </w:r>
    </w:p>
    <w:p w:rsidR="006020F4" w:rsidRPr="006E2359" w:rsidRDefault="006020F4" w:rsidP="00E96482">
      <w:pPr>
        <w:bidi/>
        <w:jc w:val="both"/>
        <w:rPr>
          <w:rFonts w:ascii="Traditional Arabic" w:hAnsi="Traditional Arabic" w:cs="Traditional Arabic"/>
          <w:color w:val="000000"/>
          <w:sz w:val="28"/>
          <w:szCs w:val="28"/>
        </w:rPr>
      </w:pPr>
      <w:r w:rsidRPr="006E2359">
        <w:rPr>
          <w:rFonts w:ascii="Traditional Arabic" w:hAnsi="Traditional Arabic" w:cs="Traditional Arabic"/>
          <w:color w:val="000000"/>
          <w:sz w:val="28"/>
          <w:szCs w:val="28"/>
          <w:rtl/>
          <w:lang w:val="en-US"/>
        </w:rPr>
        <w:t xml:space="preserve">إِنَّمَا الْمُؤْمِنُونَ الَّذِينَ آمَنُوا بِاللَّهِ وَرَسُولِهِ ثُمَّ لَمْ يَرْتَابُوا وَجَاهَدُوا بِأَمْوَالِهِمْ وَأَنْفُسِهِمْ فِي سَبِيلِ اللَّهِ أُولَئِكَ هُمُ الصَّادِقُونَ </w:t>
      </w:r>
      <w:r w:rsidR="00522E76" w:rsidRPr="006E2359">
        <w:rPr>
          <w:rFonts w:ascii="Traditional Arabic" w:hAnsi="Traditional Arabic" w:cs="Traditional Arabic"/>
          <w:color w:val="000000"/>
          <w:sz w:val="28"/>
          <w:szCs w:val="28"/>
          <w:rtl/>
          <w:lang w:val="en-US"/>
        </w:rPr>
        <w:t>﴿۱٥﴾</w:t>
      </w:r>
    </w:p>
    <w:p w:rsidR="00E22AF5" w:rsidRDefault="006E2359" w:rsidP="00E96482">
      <w:pPr>
        <w:spacing w:line="240" w:lineRule="auto"/>
        <w:ind w:left="720"/>
        <w:jc w:val="both"/>
        <w:rPr>
          <w:rFonts w:ascii="Arial" w:hAnsi="Arial" w:cs="Arial"/>
          <w:sz w:val="20"/>
          <w:szCs w:val="16"/>
        </w:rPr>
      </w:pPr>
      <w:r>
        <w:rPr>
          <w:rFonts w:ascii="Times New Roman" w:hAnsi="Times New Roman" w:cs="Times New Roman"/>
          <w:i/>
          <w:iCs/>
          <w:sz w:val="24"/>
          <w:szCs w:val="20"/>
        </w:rPr>
        <w:lastRenderedPageBreak/>
        <w:t>“</w:t>
      </w:r>
      <w:r w:rsidR="00E22AF5" w:rsidRPr="006E2359">
        <w:rPr>
          <w:rFonts w:ascii="Times New Roman" w:hAnsi="Times New Roman" w:cs="Times New Roman"/>
          <w:i/>
          <w:iCs/>
          <w:sz w:val="24"/>
          <w:szCs w:val="20"/>
        </w:rPr>
        <w:t>Sesungguhnya orang-orang mukmin yang sebenarnya adalah mereka yang beriman kepada Allah dan Rasul-Nya kemudian mereka tidak ragu-ragu dan mereka berjihad dengan harta dan jiwanya di jalan Allah. Mereka itulah orang-orang yang benar</w:t>
      </w:r>
      <w:r>
        <w:rPr>
          <w:rFonts w:ascii="Times New Roman" w:hAnsi="Times New Roman" w:cs="Times New Roman"/>
          <w:i/>
          <w:iCs/>
          <w:sz w:val="24"/>
          <w:szCs w:val="20"/>
        </w:rPr>
        <w:t>”</w:t>
      </w:r>
      <w:r w:rsidR="00E22AF5" w:rsidRPr="006E2359">
        <w:rPr>
          <w:rFonts w:ascii="Arial" w:hAnsi="Arial" w:cs="Arial"/>
          <w:sz w:val="20"/>
          <w:szCs w:val="16"/>
        </w:rPr>
        <w:t>.</w:t>
      </w:r>
    </w:p>
    <w:p w:rsidR="00C565D8" w:rsidRDefault="00A2782F" w:rsidP="00E96482">
      <w:pPr>
        <w:spacing w:line="360" w:lineRule="auto"/>
        <w:ind w:firstLine="720"/>
        <w:jc w:val="both"/>
        <w:rPr>
          <w:rFonts w:ascii="Times New Roman" w:hAnsi="Times New Roman" w:cs="Times New Roman"/>
          <w:sz w:val="24"/>
          <w:szCs w:val="20"/>
        </w:rPr>
      </w:pPr>
      <w:r>
        <w:rPr>
          <w:rFonts w:ascii="Times New Roman" w:hAnsi="Times New Roman" w:cs="Times New Roman"/>
          <w:sz w:val="24"/>
          <w:szCs w:val="20"/>
        </w:rPr>
        <w:t xml:space="preserve">Pengertian secara Ijmāli (global) bahwa al-Qur’an menghimbau terhadap orang-orang mukmin untuk tidak ragu-ragu berjihad dengan hartanya dijalan Allah. Pernyataan tersebut benar namun bersifat profokatif, selama ini berjihad mengalami diakroni (perubahan) pemaknaan, dahulu dimasa nabi jihad dipandang </w:t>
      </w:r>
      <w:r w:rsidR="00C565D8">
        <w:rPr>
          <w:rFonts w:ascii="Times New Roman" w:hAnsi="Times New Roman" w:cs="Times New Roman"/>
          <w:sz w:val="24"/>
          <w:szCs w:val="20"/>
        </w:rPr>
        <w:t xml:space="preserve">dengan </w:t>
      </w:r>
      <w:r w:rsidR="00C565D8">
        <w:rPr>
          <w:rFonts w:ascii="Times New Roman" w:hAnsi="Times New Roman" w:cs="Times New Roman"/>
          <w:i/>
          <w:iCs/>
          <w:sz w:val="24"/>
          <w:szCs w:val="20"/>
        </w:rPr>
        <w:t xml:space="preserve">ṭāqah </w:t>
      </w:r>
      <w:r w:rsidR="00C565D8">
        <w:rPr>
          <w:rFonts w:ascii="Times New Roman" w:hAnsi="Times New Roman" w:cs="Times New Roman"/>
          <w:sz w:val="24"/>
          <w:szCs w:val="20"/>
        </w:rPr>
        <w:t xml:space="preserve">yaitu kekuatan, kecakapan </w:t>
      </w:r>
      <w:r>
        <w:rPr>
          <w:rFonts w:ascii="Times New Roman" w:hAnsi="Times New Roman" w:cs="Times New Roman"/>
          <w:sz w:val="24"/>
          <w:szCs w:val="20"/>
        </w:rPr>
        <w:t xml:space="preserve">sebagai </w:t>
      </w:r>
      <w:r w:rsidR="00C565D8">
        <w:rPr>
          <w:rFonts w:ascii="Times New Roman" w:hAnsi="Times New Roman" w:cs="Times New Roman"/>
          <w:sz w:val="24"/>
          <w:szCs w:val="20"/>
        </w:rPr>
        <w:t xml:space="preserve">bentuk </w:t>
      </w:r>
      <w:r>
        <w:rPr>
          <w:rFonts w:ascii="Times New Roman" w:hAnsi="Times New Roman" w:cs="Times New Roman"/>
          <w:sz w:val="24"/>
          <w:szCs w:val="20"/>
        </w:rPr>
        <w:t>kesungguhan hati, totalitas,</w:t>
      </w:r>
      <w:r w:rsidR="00C565D8">
        <w:rPr>
          <w:rFonts w:ascii="Times New Roman" w:hAnsi="Times New Roman" w:cs="Times New Roman"/>
          <w:sz w:val="24"/>
          <w:szCs w:val="20"/>
        </w:rPr>
        <w:t xml:space="preserve"> terhadap ajaran nabi Muhammad SAW. namun akhir ini makna jihad identik dengan tindakan radikalisasi, anarkisme seperti demo, aksi, </w:t>
      </w:r>
      <w:r w:rsidR="00736FE3">
        <w:rPr>
          <w:rFonts w:ascii="Times New Roman" w:hAnsi="Times New Roman" w:cs="Times New Roman"/>
          <w:sz w:val="24"/>
          <w:szCs w:val="20"/>
        </w:rPr>
        <w:t>perang, lebih</w:t>
      </w:r>
      <w:r w:rsidR="00C565D8">
        <w:rPr>
          <w:rFonts w:ascii="Times New Roman" w:hAnsi="Times New Roman" w:cs="Times New Roman"/>
          <w:sz w:val="24"/>
          <w:szCs w:val="20"/>
        </w:rPr>
        <w:t xml:space="preserve"> parahnya adalah terorisme dengan pengeboman dan bom bunuh diri. Krisis pemaknaan jihad </w:t>
      </w:r>
      <w:r w:rsidR="00297FC0">
        <w:rPr>
          <w:rFonts w:ascii="Times New Roman" w:hAnsi="Times New Roman" w:cs="Times New Roman"/>
          <w:sz w:val="24"/>
          <w:szCs w:val="20"/>
        </w:rPr>
        <w:t xml:space="preserve">dengan </w:t>
      </w:r>
      <w:r w:rsidR="00297FC0" w:rsidRPr="00297FC0">
        <w:rPr>
          <w:rFonts w:ascii="Times New Roman" w:hAnsi="Times New Roman" w:cs="Times New Roman"/>
          <w:i/>
          <w:iCs/>
          <w:sz w:val="24"/>
          <w:szCs w:val="20"/>
        </w:rPr>
        <w:t>ḥarb</w:t>
      </w:r>
      <w:r w:rsidR="00297FC0">
        <w:rPr>
          <w:rFonts w:ascii="Times New Roman" w:hAnsi="Times New Roman" w:cs="Times New Roman"/>
          <w:sz w:val="24"/>
          <w:szCs w:val="20"/>
        </w:rPr>
        <w:t xml:space="preserve"> (perang) dan </w:t>
      </w:r>
      <w:r w:rsidR="00297FC0" w:rsidRPr="00297FC0">
        <w:rPr>
          <w:rFonts w:ascii="Times New Roman" w:hAnsi="Times New Roman" w:cs="Times New Roman"/>
          <w:i/>
          <w:iCs/>
          <w:sz w:val="24"/>
          <w:szCs w:val="20"/>
        </w:rPr>
        <w:t>qitāl</w:t>
      </w:r>
      <w:r w:rsidR="00C565D8" w:rsidRPr="00297FC0">
        <w:rPr>
          <w:rFonts w:ascii="Times New Roman" w:hAnsi="Times New Roman" w:cs="Times New Roman"/>
          <w:i/>
          <w:iCs/>
          <w:sz w:val="24"/>
          <w:szCs w:val="20"/>
        </w:rPr>
        <w:t xml:space="preserve"> </w:t>
      </w:r>
      <w:r w:rsidR="00297FC0">
        <w:rPr>
          <w:rFonts w:ascii="Times New Roman" w:hAnsi="Times New Roman" w:cs="Times New Roman"/>
          <w:sz w:val="24"/>
          <w:szCs w:val="20"/>
        </w:rPr>
        <w:t xml:space="preserve"> (pembunuhan) </w:t>
      </w:r>
      <w:r w:rsidR="00C565D8">
        <w:rPr>
          <w:rFonts w:ascii="Times New Roman" w:hAnsi="Times New Roman" w:cs="Times New Roman"/>
          <w:sz w:val="24"/>
          <w:szCs w:val="20"/>
        </w:rPr>
        <w:t>merupakan kesalah</w:t>
      </w:r>
      <w:r w:rsidR="00297FC0">
        <w:rPr>
          <w:rFonts w:ascii="Times New Roman" w:hAnsi="Times New Roman" w:cs="Times New Roman"/>
          <w:sz w:val="24"/>
          <w:szCs w:val="20"/>
        </w:rPr>
        <w:t>an</w:t>
      </w:r>
      <w:r w:rsidR="00C565D8">
        <w:rPr>
          <w:rFonts w:ascii="Times New Roman" w:hAnsi="Times New Roman" w:cs="Times New Roman"/>
          <w:sz w:val="24"/>
          <w:szCs w:val="20"/>
        </w:rPr>
        <w:t xml:space="preserve"> penafsiran yang masif sehingga perlu adanya edukasi, dan transmisi pengetahuan bahwa definisi jihad tanpa ragu bukanlah tindakan yang merugikan melainkan tindakan yang membawa kemaslahatan.</w:t>
      </w:r>
    </w:p>
    <w:p w:rsidR="00A2782F" w:rsidRPr="00A2782F" w:rsidRDefault="00C565D8" w:rsidP="00E96482">
      <w:pPr>
        <w:spacing w:line="360" w:lineRule="auto"/>
        <w:ind w:firstLine="720"/>
        <w:jc w:val="both"/>
        <w:rPr>
          <w:rFonts w:ascii="Arial" w:hAnsi="Arial" w:cs="Arial"/>
          <w:sz w:val="20"/>
          <w:szCs w:val="16"/>
        </w:rPr>
      </w:pPr>
      <w:r>
        <w:rPr>
          <w:rFonts w:ascii="Times New Roman" w:hAnsi="Times New Roman" w:cs="Times New Roman"/>
          <w:sz w:val="24"/>
          <w:szCs w:val="20"/>
        </w:rPr>
        <w:t>Muf</w:t>
      </w:r>
      <w:r w:rsidR="00736FE3">
        <w:rPr>
          <w:rFonts w:ascii="Times New Roman" w:hAnsi="Times New Roman" w:cs="Times New Roman"/>
          <w:sz w:val="24"/>
          <w:szCs w:val="20"/>
        </w:rPr>
        <w:t>assir klasik</w:t>
      </w:r>
      <w:r>
        <w:rPr>
          <w:rFonts w:ascii="Times New Roman" w:hAnsi="Times New Roman" w:cs="Times New Roman"/>
          <w:sz w:val="24"/>
          <w:szCs w:val="20"/>
        </w:rPr>
        <w:t xml:space="preserve"> seperti Imam Jalāluddin al-Maḥalli menafsirkan ayat tersebut dengan cukup unik. Yang dimaksud dengan </w:t>
      </w:r>
      <w:r>
        <w:rPr>
          <w:rFonts w:ascii="Times New Roman" w:hAnsi="Times New Roman" w:cs="Times New Roman"/>
          <w:i/>
          <w:iCs/>
          <w:sz w:val="24"/>
          <w:szCs w:val="20"/>
        </w:rPr>
        <w:t xml:space="preserve">lam yartābū wa jāhadū bi amwālihim wa anfusihim fi sabīlillah </w:t>
      </w:r>
      <w:r w:rsidRPr="00C565D8">
        <w:rPr>
          <w:rFonts w:ascii="Times New Roman" w:hAnsi="Times New Roman" w:cs="Times New Roman"/>
          <w:sz w:val="24"/>
          <w:szCs w:val="20"/>
        </w:rPr>
        <w:t xml:space="preserve">(tidak ragu-ragu </w:t>
      </w:r>
      <w:r w:rsidRPr="00C565D8">
        <w:rPr>
          <w:rFonts w:ascii="Times New Roman" w:hAnsi="Times New Roman" w:cs="Times New Roman"/>
          <w:sz w:val="24"/>
          <w:szCs w:val="20"/>
        </w:rPr>
        <w:lastRenderedPageBreak/>
        <w:t>dan mereka berjihad dengan harta dan jiwanya di jalan Allah</w:t>
      </w:r>
      <w:r>
        <w:rPr>
          <w:rFonts w:ascii="Times New Roman" w:hAnsi="Times New Roman" w:cs="Times New Roman"/>
          <w:sz w:val="24"/>
          <w:szCs w:val="20"/>
        </w:rPr>
        <w:t xml:space="preserve">) </w:t>
      </w:r>
      <w:r w:rsidRPr="00C565D8">
        <w:rPr>
          <w:rFonts w:ascii="Times New Roman" w:hAnsi="Times New Roman" w:cs="Times New Roman"/>
          <w:sz w:val="24"/>
          <w:szCs w:val="20"/>
        </w:rPr>
        <w:t>adalah</w:t>
      </w:r>
      <w:r>
        <w:rPr>
          <w:rFonts w:ascii="Times New Roman" w:hAnsi="Times New Roman" w:cs="Times New Roman"/>
          <w:sz w:val="24"/>
          <w:szCs w:val="20"/>
        </w:rPr>
        <w:t xml:space="preserve">  </w:t>
      </w:r>
      <w:r w:rsidR="00736FE3">
        <w:rPr>
          <w:rFonts w:ascii="Times New Roman" w:hAnsi="Times New Roman" w:cs="Times New Roman"/>
          <w:sz w:val="24"/>
          <w:szCs w:val="20"/>
        </w:rPr>
        <w:t xml:space="preserve">kecakapan </w:t>
      </w:r>
      <w:r>
        <w:rPr>
          <w:rFonts w:ascii="Times New Roman" w:hAnsi="Times New Roman" w:cs="Times New Roman"/>
          <w:sz w:val="24"/>
          <w:szCs w:val="20"/>
        </w:rPr>
        <w:t xml:space="preserve">menampakkan kebenaran </w:t>
      </w:r>
      <w:r w:rsidR="00736FE3">
        <w:rPr>
          <w:rFonts w:ascii="Times New Roman" w:hAnsi="Times New Roman" w:cs="Times New Roman"/>
          <w:sz w:val="24"/>
          <w:szCs w:val="20"/>
        </w:rPr>
        <w:t>ke</w:t>
      </w:r>
      <w:r>
        <w:rPr>
          <w:rFonts w:ascii="Times New Roman" w:hAnsi="Times New Roman" w:cs="Times New Roman"/>
          <w:sz w:val="24"/>
          <w:szCs w:val="20"/>
        </w:rPr>
        <w:t>iman</w:t>
      </w:r>
      <w:r w:rsidR="00736FE3">
        <w:rPr>
          <w:rFonts w:ascii="Times New Roman" w:hAnsi="Times New Roman" w:cs="Times New Roman"/>
          <w:sz w:val="24"/>
          <w:szCs w:val="20"/>
        </w:rPr>
        <w:t>a</w:t>
      </w:r>
      <w:r>
        <w:rPr>
          <w:rFonts w:ascii="Times New Roman" w:hAnsi="Times New Roman" w:cs="Times New Roman"/>
          <w:sz w:val="24"/>
          <w:szCs w:val="20"/>
        </w:rPr>
        <w:t>nya</w:t>
      </w:r>
      <w:r w:rsidR="00297FC0">
        <w:rPr>
          <w:rStyle w:val="FootnoteReference"/>
          <w:rFonts w:ascii="Times New Roman" w:hAnsi="Times New Roman" w:cs="Times New Roman"/>
          <w:sz w:val="24"/>
          <w:szCs w:val="20"/>
        </w:rPr>
        <w:footnoteReference w:id="29"/>
      </w:r>
      <w:r w:rsidR="00736FE3">
        <w:rPr>
          <w:rFonts w:ascii="Times New Roman" w:hAnsi="Times New Roman" w:cs="Times New Roman"/>
          <w:sz w:val="24"/>
          <w:szCs w:val="20"/>
        </w:rPr>
        <w:t>. Syiar Islam dapat dilakukan dengan cara yang beragam dapat dilakukan dengan harta benda, integritas, jabatan, politik, sosial, dan lain macam sebagainya tidak dengan melakukan tindakan anarkis secara membabi buta sehingga dapat merugikan berbagai pihak. Orang yang melakukan jihad tanpa mengetahui situasi dan kondisi belum bisa dikatakan mukmin sejati, sebab dalam jihad disyaratkan mengetahui kapasitas yang dimiliki, orang bersekolah jihadnya adalah belajar, orang bekerja jihadnya mencari ekonomi dan kesejahteraan diri, orang yang sedang menjadi tentara jihadnya adalah berperang menjaga keamanan, orang yang kaya jihadnya adalah dermawan, sebagaimana porsi dan bagiannya masing-masing</w:t>
      </w:r>
      <w:r w:rsidR="00297FC0">
        <w:rPr>
          <w:rFonts w:ascii="Times New Roman" w:hAnsi="Times New Roman" w:cs="Times New Roman"/>
          <w:sz w:val="24"/>
          <w:szCs w:val="20"/>
        </w:rPr>
        <w:t xml:space="preserve"> sebagaimana yang dikemukakan oleh Gamal al-Banna</w:t>
      </w:r>
      <w:r w:rsidR="00297FC0">
        <w:rPr>
          <w:rStyle w:val="FootnoteReference"/>
          <w:rFonts w:ascii="Times New Roman" w:hAnsi="Times New Roman" w:cs="Times New Roman"/>
          <w:sz w:val="24"/>
          <w:szCs w:val="20"/>
        </w:rPr>
        <w:footnoteReference w:id="30"/>
      </w:r>
      <w:r w:rsidR="00736FE3">
        <w:rPr>
          <w:rFonts w:ascii="Times New Roman" w:hAnsi="Times New Roman" w:cs="Times New Roman"/>
          <w:sz w:val="24"/>
          <w:szCs w:val="20"/>
        </w:rPr>
        <w:t xml:space="preserve">. Barulah setelah hal tersebut dilakukan maka dapat tergolong menjadi orang-orang yang benar. </w:t>
      </w:r>
      <w:r>
        <w:rPr>
          <w:rFonts w:ascii="Times New Roman" w:hAnsi="Times New Roman" w:cs="Times New Roman"/>
          <w:sz w:val="24"/>
          <w:szCs w:val="20"/>
        </w:rPr>
        <w:t xml:space="preserve"> </w:t>
      </w:r>
    </w:p>
    <w:p w:rsidR="00297FC0" w:rsidRDefault="00991A5A" w:rsidP="00E96482">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Peran </w:t>
      </w:r>
      <w:r w:rsidR="005A7C62">
        <w:rPr>
          <w:rFonts w:asciiTheme="majorBidi" w:hAnsiTheme="majorBidi" w:cstheme="majorBidi"/>
          <w:b/>
          <w:bCs/>
          <w:sz w:val="24"/>
          <w:szCs w:val="24"/>
        </w:rPr>
        <w:t>Mukmin</w:t>
      </w:r>
      <w:r w:rsidR="00522E76">
        <w:rPr>
          <w:rFonts w:asciiTheme="majorBidi" w:hAnsiTheme="majorBidi" w:cstheme="majorBidi"/>
          <w:b/>
          <w:bCs/>
          <w:sz w:val="24"/>
          <w:szCs w:val="24"/>
        </w:rPr>
        <w:t xml:space="preserve"> </w:t>
      </w:r>
      <w:r w:rsidR="005A7C62">
        <w:rPr>
          <w:rFonts w:asciiTheme="majorBidi" w:hAnsiTheme="majorBidi" w:cstheme="majorBidi"/>
          <w:b/>
          <w:bCs/>
          <w:sz w:val="24"/>
          <w:szCs w:val="24"/>
        </w:rPr>
        <w:t xml:space="preserve">Sejati dalam Membangun </w:t>
      </w:r>
      <w:r>
        <w:rPr>
          <w:rFonts w:asciiTheme="majorBidi" w:hAnsiTheme="majorBidi" w:cstheme="majorBidi"/>
          <w:b/>
          <w:bCs/>
          <w:sz w:val="24"/>
          <w:szCs w:val="24"/>
        </w:rPr>
        <w:t xml:space="preserve">Kerukunan dan </w:t>
      </w:r>
      <w:r w:rsidR="004C55B4">
        <w:rPr>
          <w:rFonts w:asciiTheme="majorBidi" w:hAnsiTheme="majorBidi" w:cstheme="majorBidi"/>
          <w:b/>
          <w:bCs/>
          <w:sz w:val="24"/>
          <w:szCs w:val="24"/>
        </w:rPr>
        <w:t>Toleransi</w:t>
      </w:r>
    </w:p>
    <w:p w:rsidR="00991A5A" w:rsidRDefault="00991A5A" w:rsidP="00E96482">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 xml:space="preserve">Agama Islam merupakan salah satu agama besar di dunia. Tentunya sebagai </w:t>
      </w:r>
      <w:r>
        <w:rPr>
          <w:rFonts w:asciiTheme="majorBidi" w:hAnsiTheme="majorBidi" w:cstheme="majorBidi"/>
          <w:sz w:val="24"/>
          <w:szCs w:val="24"/>
        </w:rPr>
        <w:lastRenderedPageBreak/>
        <w:t>agama mayoritas yang dianut oleh masyarakat di Indonesia tentu orang Islam bertanggung jawab penuh atas kerukunan didalamnya. Sebab harapan terbesar yang mudah diwujudkan adalah mempertimbangkan suara mayoritas sebagai langkah awal menuju peradaban dan kemajuan. Dalam hal ini orang Islam dituntut untuk menjadi mukmin yang sejati, sebagaimana kitab suci al-Qur’an memerintahkan ajaran untuk saling memaafkan atas kesalahan serta bersikap lemah lembut baik terhadap muslim maupun non-muslim. Hal ini sebagaimana dikemukakan o</w:t>
      </w:r>
      <w:r w:rsidR="00382B86">
        <w:rPr>
          <w:rFonts w:asciiTheme="majorBidi" w:hAnsiTheme="majorBidi" w:cstheme="majorBidi"/>
          <w:sz w:val="24"/>
          <w:szCs w:val="24"/>
        </w:rPr>
        <w:t>leh Bahruddin Zamawi dkk. bahwa Indonesia kuat sebab nilai toleransi yang terus dijaga dan dirawat dengan seksama</w:t>
      </w:r>
      <w:r w:rsidR="00382B86">
        <w:rPr>
          <w:rStyle w:val="FootnoteReference"/>
          <w:rFonts w:asciiTheme="majorBidi" w:hAnsiTheme="majorBidi" w:cstheme="majorBidi"/>
          <w:sz w:val="24"/>
          <w:szCs w:val="24"/>
        </w:rPr>
        <w:footnoteReference w:id="31"/>
      </w:r>
      <w:r w:rsidR="00382B86">
        <w:rPr>
          <w:rFonts w:asciiTheme="majorBidi" w:hAnsiTheme="majorBidi" w:cstheme="majorBidi"/>
          <w:sz w:val="24"/>
          <w:szCs w:val="24"/>
        </w:rPr>
        <w:t>.</w:t>
      </w:r>
    </w:p>
    <w:p w:rsidR="0072563F" w:rsidRDefault="00382B86" w:rsidP="00E96482">
      <w:pPr>
        <w:spacing w:after="0" w:line="360" w:lineRule="auto"/>
        <w:jc w:val="both"/>
        <w:rPr>
          <w:rFonts w:asciiTheme="majorBidi" w:hAnsiTheme="majorBidi" w:cstheme="majorBidi"/>
          <w:sz w:val="24"/>
          <w:szCs w:val="24"/>
        </w:rPr>
      </w:pPr>
      <w:r>
        <w:rPr>
          <w:rFonts w:asciiTheme="majorBidi" w:hAnsiTheme="majorBidi" w:cstheme="majorBidi"/>
          <w:sz w:val="24"/>
          <w:szCs w:val="24"/>
        </w:rPr>
        <w:tab/>
        <w:t>Orang mukmin sejati dapat berlaku dinamis menyikapi persoalan zaman yang kompleks. Mukmin sejati adalah mereka yang mampu</w:t>
      </w:r>
      <w:r w:rsidR="00651AE1">
        <w:rPr>
          <w:rFonts w:asciiTheme="majorBidi" w:hAnsiTheme="majorBidi" w:cstheme="majorBidi"/>
          <w:sz w:val="24"/>
          <w:szCs w:val="24"/>
        </w:rPr>
        <w:t xml:space="preserve"> beradaptasi dan memposisikan diri secara</w:t>
      </w:r>
      <w:r>
        <w:rPr>
          <w:rFonts w:asciiTheme="majorBidi" w:hAnsiTheme="majorBidi" w:cstheme="majorBidi"/>
          <w:sz w:val="24"/>
          <w:szCs w:val="24"/>
        </w:rPr>
        <w:t xml:space="preserve"> seimbang diantara urusan akhirat dan urusan dunia. Hal ini dibuktikan dengan tinjauan penyebutan ayat al-Qur’an yang menyebutkan </w:t>
      </w:r>
      <w:r>
        <w:rPr>
          <w:rFonts w:asciiTheme="majorBidi" w:hAnsiTheme="majorBidi" w:cstheme="majorBidi"/>
          <w:i/>
          <w:iCs/>
          <w:sz w:val="24"/>
          <w:szCs w:val="24"/>
        </w:rPr>
        <w:t xml:space="preserve">āmanū </w:t>
      </w:r>
      <w:r>
        <w:rPr>
          <w:rFonts w:asciiTheme="majorBidi" w:hAnsiTheme="majorBidi" w:cstheme="majorBidi"/>
          <w:sz w:val="24"/>
          <w:szCs w:val="24"/>
        </w:rPr>
        <w:t xml:space="preserve">(orang yang beriman) banyak dikuti dengan </w:t>
      </w:r>
      <w:r w:rsidRPr="00382B86">
        <w:rPr>
          <w:rFonts w:asciiTheme="majorBidi" w:hAnsiTheme="majorBidi" w:cstheme="majorBidi"/>
          <w:i/>
          <w:iCs/>
          <w:sz w:val="24"/>
          <w:szCs w:val="24"/>
        </w:rPr>
        <w:t>wa ‘amilu al-ṣalihāt</w:t>
      </w:r>
      <w:r>
        <w:rPr>
          <w:rFonts w:asciiTheme="majorBidi" w:hAnsiTheme="majorBidi" w:cstheme="majorBidi"/>
          <w:sz w:val="24"/>
          <w:szCs w:val="24"/>
        </w:rPr>
        <w:t xml:space="preserve"> (melakukan kebaikan).</w:t>
      </w:r>
      <w:r w:rsidR="006A16BA">
        <w:rPr>
          <w:rFonts w:asciiTheme="majorBidi" w:hAnsiTheme="majorBidi" w:cstheme="majorBidi"/>
          <w:sz w:val="24"/>
          <w:szCs w:val="24"/>
        </w:rPr>
        <w:t xml:space="preserve"> Umat Islam sudah seharusnya tidak mudah terprovokasi dengan kajian al-Qur’an maupun hadis yang diajarkan oleh orang-orang yang tidak memiliki </w:t>
      </w:r>
      <w:r w:rsidR="006A16BA">
        <w:rPr>
          <w:rFonts w:asciiTheme="majorBidi" w:hAnsiTheme="majorBidi" w:cstheme="majorBidi"/>
          <w:sz w:val="24"/>
          <w:szCs w:val="24"/>
        </w:rPr>
        <w:lastRenderedPageBreak/>
        <w:t xml:space="preserve">keilmuan yang mumpuni, dapat dilihat banyaknya orang yang mengajarkan hadis nabi tanpa disertai </w:t>
      </w:r>
      <w:r w:rsidR="006A16BA">
        <w:rPr>
          <w:rFonts w:asciiTheme="majorBidi" w:hAnsiTheme="majorBidi" w:cstheme="majorBidi"/>
          <w:i/>
          <w:iCs/>
          <w:sz w:val="24"/>
          <w:szCs w:val="24"/>
        </w:rPr>
        <w:t>‘ulūmul hadi</w:t>
      </w:r>
      <w:r w:rsidR="0072563F">
        <w:rPr>
          <w:rFonts w:asciiTheme="majorBidi" w:hAnsiTheme="majorBidi" w:cstheme="majorBidi"/>
          <w:i/>
          <w:iCs/>
          <w:sz w:val="24"/>
          <w:szCs w:val="24"/>
        </w:rPr>
        <w:t xml:space="preserve">ṡ </w:t>
      </w:r>
      <w:r w:rsidR="0072563F">
        <w:rPr>
          <w:rFonts w:asciiTheme="majorBidi" w:hAnsiTheme="majorBidi" w:cstheme="majorBidi"/>
          <w:sz w:val="24"/>
          <w:szCs w:val="24"/>
        </w:rPr>
        <w:t>sehingga tidak sedikit yang mudah terbawa dan menjadi intoleransi sebab kajian hadis yang bersifat tekstualis ditengah konteks kehidupan yang semakin maju</w:t>
      </w:r>
      <w:r w:rsidR="0072563F">
        <w:rPr>
          <w:rStyle w:val="FootnoteReference"/>
          <w:rFonts w:asciiTheme="majorBidi" w:hAnsiTheme="majorBidi" w:cstheme="majorBidi"/>
          <w:sz w:val="24"/>
          <w:szCs w:val="24"/>
        </w:rPr>
        <w:footnoteReference w:id="32"/>
      </w:r>
      <w:r w:rsidR="0072563F">
        <w:rPr>
          <w:rFonts w:asciiTheme="majorBidi" w:hAnsiTheme="majorBidi" w:cstheme="majorBidi"/>
          <w:sz w:val="24"/>
          <w:szCs w:val="24"/>
        </w:rPr>
        <w:t>.</w:t>
      </w:r>
    </w:p>
    <w:p w:rsidR="00382B86" w:rsidRDefault="0072563F" w:rsidP="00E96482">
      <w:pPr>
        <w:spacing w:after="0" w:line="360" w:lineRule="auto"/>
        <w:jc w:val="both"/>
        <w:rPr>
          <w:rFonts w:asciiTheme="majorBidi" w:hAnsiTheme="majorBidi" w:cstheme="majorBidi"/>
          <w:sz w:val="24"/>
          <w:szCs w:val="24"/>
        </w:rPr>
      </w:pPr>
      <w:r>
        <w:rPr>
          <w:rFonts w:asciiTheme="majorBidi" w:hAnsiTheme="majorBidi" w:cstheme="majorBidi"/>
          <w:sz w:val="24"/>
          <w:szCs w:val="24"/>
        </w:rPr>
        <w:tab/>
        <w:t>Berbicara tentang konsep mukmin sejati merupakan pembahasan yang substansial. Semua orang berlomba mengklaim diri sebagai golongan yang paling benar, hal itu merupakan tindakan yang biasa, namun yang perlu digaris bawahi adalah mukmin tapi tidak mudah menyalahkan orang, kelompok, golongan lain. Sikap semacam ini merup</w:t>
      </w:r>
      <w:r w:rsidR="00651AE1">
        <w:rPr>
          <w:rFonts w:asciiTheme="majorBidi" w:hAnsiTheme="majorBidi" w:cstheme="majorBidi"/>
          <w:sz w:val="24"/>
          <w:szCs w:val="24"/>
        </w:rPr>
        <w:t>akan tindakan yang kurang etis</w:t>
      </w:r>
      <w:r w:rsidR="003D523C">
        <w:rPr>
          <w:rFonts w:asciiTheme="majorBidi" w:hAnsiTheme="majorBidi" w:cstheme="majorBidi"/>
          <w:sz w:val="24"/>
          <w:szCs w:val="24"/>
        </w:rPr>
        <w:t xml:space="preserve"> jika seorang mukmin tidak bisa bersikap adil antar sesama muslim dan non-muslim</w:t>
      </w:r>
      <w:r w:rsidR="003D523C">
        <w:rPr>
          <w:rStyle w:val="FootnoteReference"/>
          <w:rFonts w:asciiTheme="majorBidi" w:hAnsiTheme="majorBidi" w:cstheme="majorBidi"/>
          <w:sz w:val="24"/>
          <w:szCs w:val="24"/>
        </w:rPr>
        <w:footnoteReference w:id="33"/>
      </w:r>
      <w:r w:rsidR="00651AE1">
        <w:rPr>
          <w:rFonts w:asciiTheme="majorBidi" w:hAnsiTheme="majorBidi" w:cstheme="majorBidi"/>
          <w:sz w:val="24"/>
          <w:szCs w:val="24"/>
        </w:rPr>
        <w:t>. Sebagia dari kriteria mukmin adalah melakukan ibadah dengan dilandasi atas keridaan Allah SWT. buka atas politik atau golongan tertentu, dengan selalu rendah hati dan menjaga martabat. Mengingat di dunia perbedaan adalah keniscayaan yang tidak bisa dihindarkan, bukan permasalahan bagiamana menjadi seragam</w:t>
      </w:r>
      <w:r w:rsidR="003D523C">
        <w:rPr>
          <w:rFonts w:asciiTheme="majorBidi" w:hAnsiTheme="majorBidi" w:cstheme="majorBidi"/>
          <w:sz w:val="24"/>
          <w:szCs w:val="24"/>
        </w:rPr>
        <w:t xml:space="preserve"> antara umat beragama dalam mengenai pendapat bersama</w:t>
      </w:r>
      <w:r w:rsidR="00651AE1">
        <w:rPr>
          <w:rFonts w:asciiTheme="majorBidi" w:hAnsiTheme="majorBidi" w:cstheme="majorBidi"/>
          <w:sz w:val="24"/>
          <w:szCs w:val="24"/>
        </w:rPr>
        <w:t xml:space="preserve">, </w:t>
      </w:r>
      <w:r w:rsidR="003D523C">
        <w:rPr>
          <w:rFonts w:asciiTheme="majorBidi" w:hAnsiTheme="majorBidi" w:cstheme="majorBidi"/>
          <w:sz w:val="24"/>
          <w:szCs w:val="24"/>
        </w:rPr>
        <w:t xml:space="preserve">melainkan </w:t>
      </w:r>
      <w:r w:rsidR="00651AE1">
        <w:rPr>
          <w:rFonts w:asciiTheme="majorBidi" w:hAnsiTheme="majorBidi" w:cstheme="majorBidi"/>
          <w:sz w:val="24"/>
          <w:szCs w:val="24"/>
        </w:rPr>
        <w:t xml:space="preserve">mukmin sejati memaknai pebedaan </w:t>
      </w:r>
      <w:r w:rsidR="00651AE1">
        <w:rPr>
          <w:rFonts w:asciiTheme="majorBidi" w:hAnsiTheme="majorBidi" w:cstheme="majorBidi"/>
          <w:sz w:val="24"/>
          <w:szCs w:val="24"/>
        </w:rPr>
        <w:lastRenderedPageBreak/>
        <w:t>pendapat</w:t>
      </w:r>
      <w:r w:rsidR="003D523C">
        <w:rPr>
          <w:rFonts w:asciiTheme="majorBidi" w:hAnsiTheme="majorBidi" w:cstheme="majorBidi"/>
          <w:sz w:val="24"/>
          <w:szCs w:val="24"/>
        </w:rPr>
        <w:t xml:space="preserve"> sebagai </w:t>
      </w:r>
      <w:r w:rsidR="00651AE1">
        <w:rPr>
          <w:rFonts w:asciiTheme="majorBidi" w:hAnsiTheme="majorBidi" w:cstheme="majorBidi"/>
          <w:sz w:val="24"/>
          <w:szCs w:val="24"/>
        </w:rPr>
        <w:t>bentuk keindahan yang harus disikapi secara arif dan bijaksana</w:t>
      </w:r>
      <w:r w:rsidR="0090017A">
        <w:rPr>
          <w:rFonts w:asciiTheme="majorBidi" w:hAnsiTheme="majorBidi" w:cstheme="majorBidi"/>
          <w:sz w:val="24"/>
          <w:szCs w:val="24"/>
        </w:rPr>
        <w:t xml:space="preserve"> baik</w:t>
      </w:r>
      <w:r w:rsidR="003D523C">
        <w:rPr>
          <w:rFonts w:asciiTheme="majorBidi" w:hAnsiTheme="majorBidi" w:cstheme="majorBidi"/>
          <w:sz w:val="24"/>
          <w:szCs w:val="24"/>
        </w:rPr>
        <w:t xml:space="preserve"> tanpa terkecuali mengenai persoalan agama, budaya, ras, suku, dan bangsa</w:t>
      </w:r>
      <w:r w:rsidR="003D523C">
        <w:rPr>
          <w:rStyle w:val="FootnoteReference"/>
          <w:rFonts w:asciiTheme="majorBidi" w:hAnsiTheme="majorBidi" w:cstheme="majorBidi"/>
          <w:sz w:val="24"/>
          <w:szCs w:val="24"/>
        </w:rPr>
        <w:footnoteReference w:id="34"/>
      </w:r>
      <w:r w:rsidR="00651AE1">
        <w:rPr>
          <w:rFonts w:asciiTheme="majorBidi" w:hAnsiTheme="majorBidi" w:cstheme="majorBidi"/>
          <w:sz w:val="24"/>
          <w:szCs w:val="24"/>
        </w:rPr>
        <w:t>.</w:t>
      </w:r>
    </w:p>
    <w:p w:rsidR="00F52530" w:rsidRDefault="0090017A" w:rsidP="00E96482">
      <w:pPr>
        <w:spacing w:after="0" w:line="360" w:lineRule="auto"/>
        <w:jc w:val="both"/>
        <w:rPr>
          <w:rFonts w:asciiTheme="majorBidi" w:hAnsiTheme="majorBidi" w:cstheme="majorBidi"/>
          <w:sz w:val="24"/>
          <w:szCs w:val="24"/>
        </w:rPr>
      </w:pPr>
      <w:r>
        <w:rPr>
          <w:rFonts w:asciiTheme="majorBidi" w:hAnsiTheme="majorBidi" w:cstheme="majorBidi"/>
          <w:sz w:val="24"/>
          <w:szCs w:val="24"/>
        </w:rPr>
        <w:tab/>
        <w:t xml:space="preserve">Sikap saling menghormati harus lebih dihadirkan sebagai bentuk manifestasi keimanan. Di negara-negara Barat orang muslim dan non-muslim hidup berdampingan, mereka bebas mengemukakan pendapat selama namun tetap saling menghormati tanpa merendahkan satu sama lain, sebagaimana yang dikemukakan oleh </w:t>
      </w:r>
      <w:r w:rsidRPr="0090017A">
        <w:rPr>
          <w:rFonts w:asciiTheme="majorBidi" w:hAnsiTheme="majorBidi" w:cstheme="majorBidi"/>
          <w:sz w:val="24"/>
          <w:szCs w:val="32"/>
        </w:rPr>
        <w:t>Maykel Verkuyten dan Luuk Slooter</w:t>
      </w:r>
      <w:r w:rsidRPr="0090017A">
        <w:rPr>
          <w:rStyle w:val="FootnoteReference"/>
          <w:rFonts w:asciiTheme="majorBidi" w:hAnsiTheme="majorBidi" w:cstheme="majorBidi"/>
          <w:sz w:val="32"/>
          <w:szCs w:val="32"/>
        </w:rPr>
        <w:t xml:space="preserve"> </w:t>
      </w:r>
      <w:r>
        <w:rPr>
          <w:rStyle w:val="FootnoteReference"/>
          <w:rFonts w:asciiTheme="majorBidi" w:hAnsiTheme="majorBidi" w:cstheme="majorBidi"/>
          <w:sz w:val="24"/>
          <w:szCs w:val="24"/>
        </w:rPr>
        <w:footnoteReference w:id="35"/>
      </w:r>
      <w:r>
        <w:rPr>
          <w:rFonts w:asciiTheme="majorBidi" w:hAnsiTheme="majorBidi" w:cstheme="majorBidi"/>
          <w:sz w:val="24"/>
          <w:szCs w:val="24"/>
        </w:rPr>
        <w:t>. Sebagai orang Timur yang menjunjung tinggi peradaban dan tata krama sudah selayaknya sikap toleransi dan kerukunan perlu disiram agar tumbuh subur di masyarakat bersama, meminimalisir gesekan, menahan adanya perpecahan adalah upaya merukukan.</w:t>
      </w:r>
    </w:p>
    <w:p w:rsidR="00AF013C" w:rsidRPr="00E96482" w:rsidRDefault="00F52530" w:rsidP="00E96482">
      <w:pPr>
        <w:spacing w:line="360" w:lineRule="auto"/>
        <w:jc w:val="both"/>
        <w:rPr>
          <w:rFonts w:asciiTheme="majorBidi" w:hAnsiTheme="majorBidi" w:cstheme="majorBidi"/>
          <w:sz w:val="24"/>
          <w:szCs w:val="24"/>
        </w:rPr>
      </w:pPr>
      <w:r>
        <w:rPr>
          <w:rFonts w:asciiTheme="majorBidi" w:hAnsiTheme="majorBidi" w:cstheme="majorBidi"/>
          <w:sz w:val="24"/>
          <w:szCs w:val="24"/>
        </w:rPr>
        <w:tab/>
        <w:t>Jika menelaah kepada penafsiran</w:t>
      </w:r>
      <w:r w:rsidR="0090017A">
        <w:rPr>
          <w:rFonts w:asciiTheme="majorBidi" w:hAnsiTheme="majorBidi" w:cstheme="majorBidi"/>
          <w:sz w:val="24"/>
          <w:szCs w:val="24"/>
        </w:rPr>
        <w:t xml:space="preserve"> </w:t>
      </w:r>
      <w:r w:rsidRPr="00F52530">
        <w:rPr>
          <w:rFonts w:asciiTheme="majorBidi" w:hAnsiTheme="majorBidi" w:cstheme="majorBidi"/>
          <w:sz w:val="24"/>
          <w:szCs w:val="24"/>
        </w:rPr>
        <w:t xml:space="preserve">Syaikh Jalāluddin Muhammad Ibn Ahmad al-Maḥalli (L.791-864 H./ W. 1389-1459 M.) dan Syaikh Jalaluddin Abdurraḥman Ibn Abi Bakar al-Suyuti (L. 849-911 H./ W.1445-1505 M.) </w:t>
      </w:r>
      <w:r>
        <w:rPr>
          <w:rFonts w:asciiTheme="majorBidi" w:hAnsiTheme="majorBidi" w:cstheme="majorBidi"/>
          <w:sz w:val="24"/>
          <w:szCs w:val="24"/>
        </w:rPr>
        <w:t xml:space="preserve">dalam kitab tafsir Jalālain mukmin secara umum adalah mereka yang yang beriman kepada Allah, malaikat, kitab, rasul, hari akhir, dan takdir (ketetapan) Allah </w:t>
      </w:r>
      <w:r>
        <w:rPr>
          <w:rFonts w:asciiTheme="majorBidi" w:hAnsiTheme="majorBidi" w:cstheme="majorBidi"/>
          <w:sz w:val="24"/>
          <w:szCs w:val="24"/>
        </w:rPr>
        <w:lastRenderedPageBreak/>
        <w:t xml:space="preserve">meliputi takdir yang baik maupun yang buruk, yang manis maupun yang pahit. Namun definisi yang lain mukmin sejati merupakan mereka yang stabil, seimbang, </w:t>
      </w:r>
      <w:r w:rsidRPr="00F52530">
        <w:rPr>
          <w:rFonts w:asciiTheme="majorBidi" w:hAnsiTheme="majorBidi" w:cstheme="majorBidi"/>
          <w:i/>
          <w:iCs/>
          <w:sz w:val="24"/>
          <w:szCs w:val="24"/>
        </w:rPr>
        <w:t>balance</w:t>
      </w:r>
      <w:r>
        <w:rPr>
          <w:rFonts w:asciiTheme="majorBidi" w:hAnsiTheme="majorBidi" w:cstheme="majorBidi"/>
          <w:i/>
          <w:iCs/>
          <w:sz w:val="24"/>
          <w:szCs w:val="24"/>
        </w:rPr>
        <w:t>,</w:t>
      </w:r>
      <w:r>
        <w:rPr>
          <w:rFonts w:asciiTheme="majorBidi" w:hAnsiTheme="majorBidi" w:cstheme="majorBidi"/>
          <w:sz w:val="24"/>
          <w:szCs w:val="24"/>
        </w:rPr>
        <w:t xml:space="preserve"> proposional antara kesalehan keimanan spiritual indivual dan kesalahean keimanan sosial. Adapun keimanan spiritual indivual yang meliputi ibadah seperti shalat secara </w:t>
      </w:r>
      <w:r w:rsidRPr="00F52530">
        <w:rPr>
          <w:rFonts w:asciiTheme="majorBidi" w:hAnsiTheme="majorBidi" w:cstheme="majorBidi"/>
          <w:i/>
          <w:iCs/>
          <w:sz w:val="24"/>
          <w:szCs w:val="24"/>
        </w:rPr>
        <w:t>khusy</w:t>
      </w:r>
      <w:r>
        <w:rPr>
          <w:rFonts w:asciiTheme="majorBidi" w:hAnsiTheme="majorBidi" w:cstheme="majorBidi"/>
          <w:i/>
          <w:iCs/>
          <w:sz w:val="24"/>
          <w:szCs w:val="24"/>
        </w:rPr>
        <w:t>ū</w:t>
      </w:r>
      <w:r w:rsidRPr="00F52530">
        <w:rPr>
          <w:rFonts w:asciiTheme="majorBidi" w:hAnsiTheme="majorBidi" w:cstheme="majorBidi"/>
          <w:i/>
          <w:iCs/>
          <w:sz w:val="24"/>
          <w:szCs w:val="24"/>
        </w:rPr>
        <w:t>’, khuḍ</w:t>
      </w:r>
      <w:r>
        <w:rPr>
          <w:rFonts w:asciiTheme="majorBidi" w:hAnsiTheme="majorBidi" w:cstheme="majorBidi"/>
          <w:i/>
          <w:iCs/>
          <w:sz w:val="24"/>
          <w:szCs w:val="24"/>
        </w:rPr>
        <w:t>ū</w:t>
      </w:r>
      <w:r w:rsidRPr="00F52530">
        <w:rPr>
          <w:rFonts w:asciiTheme="majorBidi" w:hAnsiTheme="majorBidi" w:cstheme="majorBidi"/>
          <w:i/>
          <w:iCs/>
          <w:sz w:val="24"/>
          <w:szCs w:val="24"/>
        </w:rPr>
        <w:t>’</w:t>
      </w:r>
      <w:r>
        <w:rPr>
          <w:rFonts w:asciiTheme="majorBidi" w:hAnsiTheme="majorBidi" w:cstheme="majorBidi"/>
          <w:i/>
          <w:iCs/>
          <w:sz w:val="24"/>
          <w:szCs w:val="24"/>
        </w:rPr>
        <w:t>,</w:t>
      </w:r>
      <w:r>
        <w:rPr>
          <w:rFonts w:asciiTheme="majorBidi" w:hAnsiTheme="majorBidi" w:cstheme="majorBidi"/>
          <w:sz w:val="24"/>
          <w:szCs w:val="24"/>
        </w:rPr>
        <w:t xml:space="preserve"> bertutur kata santun, berpuasa dan lain macam sebagainya, sedangkan kesalehan keimanan sosial meliputi membantu ekonomi seperti menunaikan zakat, menjaga kerukunan, berhijrah (se</w:t>
      </w:r>
      <w:r w:rsidR="0092795F">
        <w:rPr>
          <w:rFonts w:asciiTheme="majorBidi" w:hAnsiTheme="majorBidi" w:cstheme="majorBidi"/>
          <w:sz w:val="24"/>
          <w:szCs w:val="24"/>
        </w:rPr>
        <w:t>nantiasa</w:t>
      </w:r>
      <w:r>
        <w:rPr>
          <w:rFonts w:asciiTheme="majorBidi" w:hAnsiTheme="majorBidi" w:cstheme="majorBidi"/>
          <w:sz w:val="24"/>
          <w:szCs w:val="24"/>
        </w:rPr>
        <w:t xml:space="preserve"> berusaha</w:t>
      </w:r>
      <w:r w:rsidR="0092795F">
        <w:rPr>
          <w:rFonts w:asciiTheme="majorBidi" w:hAnsiTheme="majorBidi" w:cstheme="majorBidi"/>
          <w:sz w:val="24"/>
          <w:szCs w:val="24"/>
        </w:rPr>
        <w:t xml:space="preserve"> menuju perbaikan diri)</w:t>
      </w:r>
      <w:r>
        <w:rPr>
          <w:rFonts w:asciiTheme="majorBidi" w:hAnsiTheme="majorBidi" w:cstheme="majorBidi"/>
          <w:sz w:val="24"/>
          <w:szCs w:val="24"/>
        </w:rPr>
        <w:t>, berjihad</w:t>
      </w:r>
      <w:r w:rsidR="0092795F">
        <w:rPr>
          <w:rFonts w:asciiTheme="majorBidi" w:hAnsiTheme="majorBidi" w:cstheme="majorBidi"/>
          <w:sz w:val="24"/>
          <w:szCs w:val="24"/>
        </w:rPr>
        <w:t xml:space="preserve"> (kesungguhan hati/ tekad yang kuat untuk berpegang teguh atas firman Allah dan sabda Rasulullah), </w:t>
      </w:r>
      <w:r>
        <w:rPr>
          <w:rFonts w:asciiTheme="majorBidi" w:hAnsiTheme="majorBidi" w:cstheme="majorBidi"/>
          <w:sz w:val="24"/>
          <w:szCs w:val="24"/>
        </w:rPr>
        <w:t>saling menolong</w:t>
      </w:r>
      <w:r w:rsidR="0092795F">
        <w:rPr>
          <w:rFonts w:asciiTheme="majorBidi" w:hAnsiTheme="majorBidi" w:cstheme="majorBidi"/>
          <w:sz w:val="24"/>
          <w:szCs w:val="24"/>
        </w:rPr>
        <w:t xml:space="preserve">, dan rasa persaudaraan, hal tersebut seseuai </w:t>
      </w:r>
      <w:r w:rsidR="0092795F" w:rsidRPr="0092795F">
        <w:rPr>
          <w:rFonts w:asciiTheme="majorBidi" w:hAnsiTheme="majorBidi" w:cstheme="majorBidi"/>
          <w:sz w:val="24"/>
          <w:szCs w:val="24"/>
        </w:rPr>
        <w:t>dengan QS. Al-Anfāl (8) : 2-4, QS. Al-Mu’minūn (23): 1-11, dan ayat-ayat lainnya.</w:t>
      </w:r>
      <w:r w:rsidR="00297FC0">
        <w:rPr>
          <w:rFonts w:asciiTheme="majorBidi" w:hAnsiTheme="majorBidi" w:cstheme="majorBidi"/>
          <w:b/>
          <w:bCs/>
          <w:sz w:val="24"/>
          <w:szCs w:val="24"/>
        </w:rPr>
        <w:tab/>
      </w:r>
      <w:r w:rsidR="00522E76">
        <w:rPr>
          <w:rFonts w:asciiTheme="majorBidi" w:hAnsiTheme="majorBidi" w:cstheme="majorBidi"/>
          <w:b/>
          <w:bCs/>
          <w:sz w:val="24"/>
          <w:szCs w:val="24"/>
        </w:rPr>
        <w:t xml:space="preserve"> </w:t>
      </w:r>
      <w:r w:rsidR="0006699E">
        <w:rPr>
          <w:rFonts w:asciiTheme="majorBidi" w:hAnsiTheme="majorBidi" w:cstheme="majorBidi"/>
          <w:b/>
          <w:bCs/>
          <w:sz w:val="24"/>
          <w:szCs w:val="24"/>
        </w:rPr>
        <w:t xml:space="preserve"> </w:t>
      </w:r>
    </w:p>
    <w:p w:rsidR="0006699E" w:rsidRDefault="0006699E" w:rsidP="00E96482">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KESIMPULAN</w:t>
      </w:r>
    </w:p>
    <w:p w:rsidR="0092795F" w:rsidRDefault="0092795F" w:rsidP="00A70BB8">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Menjadi sebenar-benarnya mukmin atau mukmin sejati merupakan cita-cita seluruh umat Islam. Dengan mendekatkan diri kepada Allah menjalankan perintah</w:t>
      </w:r>
      <w:r w:rsidR="00A70BB8">
        <w:rPr>
          <w:rFonts w:asciiTheme="majorBidi" w:hAnsiTheme="majorBidi" w:cstheme="majorBidi"/>
          <w:sz w:val="24"/>
          <w:szCs w:val="24"/>
        </w:rPr>
        <w:t xml:space="preserve">Nya, </w:t>
      </w:r>
      <w:r>
        <w:rPr>
          <w:rFonts w:asciiTheme="majorBidi" w:hAnsiTheme="majorBidi" w:cstheme="majorBidi"/>
          <w:sz w:val="24"/>
          <w:szCs w:val="24"/>
        </w:rPr>
        <w:t xml:space="preserve">seseorang telah dinyatakan sebagai seorang mukmin atau muslim yang saleh. Namun hal yang demikian itu tidaklah cukup, seorang mukmin dituntut untuk gagah dan gigih menyikapi persoalan umat, sebab menurut nabi sebaik-baiknya manusia adalah yang </w:t>
      </w:r>
      <w:r>
        <w:rPr>
          <w:rFonts w:asciiTheme="majorBidi" w:hAnsiTheme="majorBidi" w:cstheme="majorBidi"/>
          <w:sz w:val="24"/>
          <w:szCs w:val="24"/>
        </w:rPr>
        <w:lastRenderedPageBreak/>
        <w:t xml:space="preserve">bermanfaat atas lainnya. Oleh sebab itu mukmin sejati dapat diistilahkan sebagai </w:t>
      </w:r>
      <w:r w:rsidRPr="0092795F">
        <w:rPr>
          <w:rFonts w:asciiTheme="majorBidi" w:hAnsiTheme="majorBidi" w:cstheme="majorBidi"/>
          <w:i/>
          <w:iCs/>
          <w:sz w:val="24"/>
          <w:szCs w:val="24"/>
        </w:rPr>
        <w:t>insān kāmil</w:t>
      </w:r>
      <w:r>
        <w:rPr>
          <w:rFonts w:asciiTheme="majorBidi" w:hAnsiTheme="majorBidi" w:cstheme="majorBidi"/>
          <w:sz w:val="24"/>
          <w:szCs w:val="24"/>
        </w:rPr>
        <w:t xml:space="preserve"> (manusia sempurna)/ </w:t>
      </w:r>
      <w:r>
        <w:rPr>
          <w:rFonts w:asciiTheme="majorBidi" w:hAnsiTheme="majorBidi" w:cstheme="majorBidi"/>
          <w:i/>
          <w:iCs/>
          <w:sz w:val="24"/>
          <w:szCs w:val="24"/>
        </w:rPr>
        <w:t>superman</w:t>
      </w:r>
      <w:r>
        <w:rPr>
          <w:rFonts w:asciiTheme="majorBidi" w:hAnsiTheme="majorBidi" w:cstheme="majorBidi"/>
          <w:sz w:val="24"/>
          <w:szCs w:val="24"/>
        </w:rPr>
        <w:t xml:space="preserve"> yang memiliki kepekaan sosial tanpa mengesampingkan </w:t>
      </w:r>
      <w:r w:rsidR="007A5241">
        <w:rPr>
          <w:rFonts w:asciiTheme="majorBidi" w:hAnsiTheme="majorBidi" w:cstheme="majorBidi"/>
          <w:sz w:val="24"/>
          <w:szCs w:val="24"/>
        </w:rPr>
        <w:t>kualitas individual, sebab antara jiwa dan raga, antara kehidupan akhirat dan dunia keduanya harus berjalan beriringan khususnya dalam menjaga persatuan dan keharmonisan kehidupan antar budaya, agama, suku dan</w:t>
      </w:r>
      <w:r w:rsidR="007A5241" w:rsidRPr="007A5241">
        <w:rPr>
          <w:rFonts w:asciiTheme="majorBidi" w:hAnsiTheme="majorBidi" w:cstheme="majorBidi"/>
          <w:sz w:val="24"/>
          <w:szCs w:val="24"/>
        </w:rPr>
        <w:t xml:space="preserve"> </w:t>
      </w:r>
      <w:r w:rsidR="007A5241">
        <w:rPr>
          <w:rFonts w:asciiTheme="majorBidi" w:hAnsiTheme="majorBidi" w:cstheme="majorBidi"/>
          <w:sz w:val="24"/>
          <w:szCs w:val="24"/>
        </w:rPr>
        <w:t>bangsa. Sesuai dengan ungkapan al-Qur’an mengenai mukmin sejati dengan istilah al-mu’minūna ḥaqqa</w:t>
      </w:r>
      <w:r w:rsidR="007935D4">
        <w:rPr>
          <w:rFonts w:asciiTheme="majorBidi" w:hAnsiTheme="majorBidi" w:cstheme="majorBidi"/>
          <w:sz w:val="24"/>
          <w:szCs w:val="24"/>
        </w:rPr>
        <w:t xml:space="preserve"> dan </w:t>
      </w:r>
      <w:r w:rsidR="007A5241">
        <w:rPr>
          <w:rFonts w:asciiTheme="majorBidi" w:hAnsiTheme="majorBidi" w:cstheme="majorBidi"/>
          <w:sz w:val="24"/>
          <w:szCs w:val="24"/>
        </w:rPr>
        <w:t>al-</w:t>
      </w:r>
      <w:r w:rsidR="007935D4" w:rsidRPr="007935D4">
        <w:rPr>
          <w:rFonts w:asciiTheme="majorBidi" w:hAnsiTheme="majorBidi" w:cstheme="majorBidi"/>
          <w:sz w:val="24"/>
          <w:szCs w:val="24"/>
        </w:rPr>
        <w:t xml:space="preserve"> </w:t>
      </w:r>
      <w:r w:rsidR="007935D4">
        <w:rPr>
          <w:rFonts w:asciiTheme="majorBidi" w:hAnsiTheme="majorBidi" w:cstheme="majorBidi"/>
          <w:sz w:val="24"/>
          <w:szCs w:val="24"/>
        </w:rPr>
        <w:t>mu’minūna</w:t>
      </w:r>
      <w:r w:rsidR="007A5241">
        <w:rPr>
          <w:rFonts w:asciiTheme="majorBidi" w:hAnsiTheme="majorBidi" w:cstheme="majorBidi"/>
          <w:sz w:val="24"/>
          <w:szCs w:val="24"/>
        </w:rPr>
        <w:t xml:space="preserve"> </w:t>
      </w:r>
      <w:r w:rsidR="007935D4">
        <w:rPr>
          <w:rFonts w:asciiTheme="majorBidi" w:hAnsiTheme="majorBidi" w:cstheme="majorBidi"/>
          <w:sz w:val="24"/>
          <w:szCs w:val="24"/>
        </w:rPr>
        <w:t xml:space="preserve">dengan berbentuk </w:t>
      </w:r>
      <w:r w:rsidR="007935D4" w:rsidRPr="007935D4">
        <w:rPr>
          <w:rFonts w:asciiTheme="majorBidi" w:hAnsiTheme="majorBidi" w:cstheme="majorBidi"/>
          <w:i/>
          <w:iCs/>
          <w:sz w:val="24"/>
          <w:szCs w:val="24"/>
        </w:rPr>
        <w:t>isim ma’rifah</w:t>
      </w:r>
      <w:r w:rsidR="007935D4">
        <w:rPr>
          <w:rFonts w:asciiTheme="majorBidi" w:hAnsiTheme="majorBidi" w:cstheme="majorBidi"/>
          <w:sz w:val="24"/>
          <w:szCs w:val="24"/>
        </w:rPr>
        <w:t xml:space="preserve"> (menunj</w:t>
      </w:r>
      <w:r w:rsidR="0019432D">
        <w:rPr>
          <w:rFonts w:asciiTheme="majorBidi" w:hAnsiTheme="majorBidi" w:cstheme="majorBidi"/>
          <w:sz w:val="24"/>
          <w:szCs w:val="24"/>
        </w:rPr>
        <w:t>u</w:t>
      </w:r>
      <w:r w:rsidR="007935D4">
        <w:rPr>
          <w:rFonts w:asciiTheme="majorBidi" w:hAnsiTheme="majorBidi" w:cstheme="majorBidi"/>
          <w:sz w:val="24"/>
          <w:szCs w:val="24"/>
        </w:rPr>
        <w:t xml:space="preserve">kkan makna kekhususan) </w:t>
      </w:r>
      <w:r w:rsidR="007A5241">
        <w:rPr>
          <w:rFonts w:asciiTheme="majorBidi" w:hAnsiTheme="majorBidi" w:cstheme="majorBidi"/>
          <w:sz w:val="24"/>
          <w:szCs w:val="24"/>
        </w:rPr>
        <w:t>yang memiliki makna sebenar-benarnya orang beriman atau mukmin sejati.</w:t>
      </w:r>
    </w:p>
    <w:p w:rsidR="007A5241" w:rsidRPr="007935D4" w:rsidRDefault="007A5241" w:rsidP="00E96482">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Pr="007935D4">
        <w:rPr>
          <w:rFonts w:asciiTheme="majorBidi" w:hAnsiTheme="majorBidi" w:cstheme="majorBidi"/>
          <w:sz w:val="24"/>
          <w:szCs w:val="24"/>
        </w:rPr>
        <w:t>Adapun pengertian mukmin sejati memiliki ragam makna dalam al-Qur’an. Dalam QS. Al-Anfāl (8) : 2-4</w:t>
      </w:r>
      <w:r w:rsidR="007935D4">
        <w:rPr>
          <w:rFonts w:asciiTheme="majorBidi" w:hAnsiTheme="majorBidi" w:cstheme="majorBidi"/>
          <w:sz w:val="24"/>
          <w:szCs w:val="24"/>
        </w:rPr>
        <w:t>,</w:t>
      </w:r>
      <w:r w:rsidRPr="007935D4">
        <w:rPr>
          <w:rFonts w:asciiTheme="majorBidi" w:hAnsiTheme="majorBidi" w:cstheme="majorBidi"/>
          <w:sz w:val="24"/>
          <w:szCs w:val="24"/>
        </w:rPr>
        <w:t xml:space="preserve"> </w:t>
      </w:r>
      <w:r w:rsidR="007935D4">
        <w:rPr>
          <w:rFonts w:asciiTheme="majorBidi" w:hAnsiTheme="majorBidi" w:cstheme="majorBidi"/>
          <w:sz w:val="24"/>
          <w:szCs w:val="24"/>
        </w:rPr>
        <w:t xml:space="preserve">yang dimaksud </w:t>
      </w:r>
      <w:r w:rsidRPr="007935D4">
        <w:rPr>
          <w:rFonts w:asciiTheme="majorBidi" w:hAnsiTheme="majorBidi" w:cstheme="majorBidi"/>
          <w:sz w:val="24"/>
          <w:szCs w:val="24"/>
        </w:rPr>
        <w:t>mukmin sejati adalah orang yang selalu bergetar hatinya ketika mengingat Allah entah lewat dzikir, membaca al-Qur’an, mendirikan shalat dan menunaikan zakat. Pada QS. Al-</w:t>
      </w:r>
      <w:r w:rsidRPr="007935D4">
        <w:rPr>
          <w:rFonts w:asciiTheme="majorBidi" w:hAnsiTheme="majorBidi" w:cstheme="majorBidi"/>
          <w:sz w:val="24"/>
          <w:szCs w:val="24"/>
        </w:rPr>
        <w:lastRenderedPageBreak/>
        <w:t xml:space="preserve">Anfāl (8): 74 </w:t>
      </w:r>
      <w:r w:rsidR="007935D4">
        <w:rPr>
          <w:rFonts w:asciiTheme="majorBidi" w:hAnsiTheme="majorBidi" w:cstheme="majorBidi"/>
          <w:sz w:val="24"/>
          <w:szCs w:val="24"/>
        </w:rPr>
        <w:t xml:space="preserve">dijelaskan bahwa </w:t>
      </w:r>
      <w:r w:rsidRPr="007935D4">
        <w:rPr>
          <w:rFonts w:asciiTheme="majorBidi" w:hAnsiTheme="majorBidi" w:cstheme="majorBidi"/>
          <w:sz w:val="24"/>
          <w:szCs w:val="24"/>
        </w:rPr>
        <w:t>mukmin sejati adalah mereka yang berhijrah, berjihad, dan saling tolong menolong</w:t>
      </w:r>
      <w:r w:rsidR="007935D4" w:rsidRPr="007935D4">
        <w:rPr>
          <w:rFonts w:asciiTheme="majorBidi" w:hAnsiTheme="majorBidi" w:cstheme="majorBidi"/>
          <w:sz w:val="24"/>
          <w:szCs w:val="24"/>
        </w:rPr>
        <w:t>. Pada QS. Al-Mu’minūn (23): 1-11</w:t>
      </w:r>
      <w:r w:rsidR="007935D4">
        <w:rPr>
          <w:rFonts w:asciiTheme="majorBidi" w:hAnsiTheme="majorBidi" w:cstheme="majorBidi"/>
          <w:sz w:val="24"/>
          <w:szCs w:val="24"/>
        </w:rPr>
        <w:t>,</w:t>
      </w:r>
      <w:r w:rsidR="007935D4" w:rsidRPr="007935D4">
        <w:rPr>
          <w:rFonts w:asciiTheme="majorBidi" w:hAnsiTheme="majorBidi" w:cstheme="majorBidi"/>
          <w:sz w:val="24"/>
          <w:szCs w:val="24"/>
        </w:rPr>
        <w:t xml:space="preserve"> karakteristik orang mukmin memiliki enam sifat yaitu orang yang </w:t>
      </w:r>
      <w:r w:rsidRPr="007935D4">
        <w:rPr>
          <w:rFonts w:ascii="Times New Roman" w:hAnsi="Times New Roman" w:cs="Times New Roman"/>
          <w:sz w:val="24"/>
          <w:szCs w:val="20"/>
        </w:rPr>
        <w:t xml:space="preserve">shalat secara khusyu’, </w:t>
      </w:r>
      <w:r w:rsidR="007935D4" w:rsidRPr="007935D4">
        <w:rPr>
          <w:rFonts w:ascii="Times New Roman" w:hAnsi="Times New Roman" w:cs="Times New Roman"/>
          <w:sz w:val="24"/>
          <w:szCs w:val="20"/>
        </w:rPr>
        <w:t xml:space="preserve">orang mukmin yang </w:t>
      </w:r>
      <w:r w:rsidRPr="007935D4">
        <w:rPr>
          <w:rFonts w:ascii="Times New Roman" w:hAnsi="Times New Roman" w:cs="Times New Roman"/>
          <w:sz w:val="24"/>
          <w:szCs w:val="20"/>
        </w:rPr>
        <w:t xml:space="preserve">menjaga kemaluan atau </w:t>
      </w:r>
      <w:r w:rsidR="007935D4" w:rsidRPr="007935D4">
        <w:rPr>
          <w:rFonts w:ascii="Times New Roman" w:hAnsi="Times New Roman" w:cs="Times New Roman"/>
          <w:sz w:val="24"/>
          <w:szCs w:val="20"/>
        </w:rPr>
        <w:t xml:space="preserve">hasrat </w:t>
      </w:r>
      <w:r w:rsidRPr="007935D4">
        <w:rPr>
          <w:rFonts w:ascii="Times New Roman" w:hAnsi="Times New Roman" w:cs="Times New Roman"/>
          <w:sz w:val="24"/>
          <w:szCs w:val="20"/>
        </w:rPr>
        <w:t>seksualitas hanya dengan cara yang sah (hanya dengan istri maupun budak dulu di awal Islam), orang yan</w:t>
      </w:r>
      <w:r w:rsidR="007935D4" w:rsidRPr="007935D4">
        <w:rPr>
          <w:rFonts w:ascii="Times New Roman" w:hAnsi="Times New Roman" w:cs="Times New Roman"/>
          <w:sz w:val="24"/>
          <w:szCs w:val="20"/>
        </w:rPr>
        <w:t xml:space="preserve">g senantiasa menjaga kewajiban, </w:t>
      </w:r>
      <w:r w:rsidRPr="007935D4">
        <w:rPr>
          <w:rFonts w:ascii="Times New Roman" w:hAnsi="Times New Roman" w:cs="Times New Roman"/>
          <w:sz w:val="24"/>
          <w:szCs w:val="20"/>
        </w:rPr>
        <w:t>tidak melakukan perkara yang sia-sia dengan selalu menghiasi diri dengan perilaku yang bermanfaat, menuanikan zakat, dan berinteraksi secara baik dengan menepati janji dan tanggung jawab</w:t>
      </w:r>
      <w:r w:rsidR="007935D4" w:rsidRPr="007935D4">
        <w:rPr>
          <w:rFonts w:ascii="Times New Roman" w:hAnsi="Times New Roman" w:cs="Times New Roman"/>
          <w:sz w:val="24"/>
          <w:szCs w:val="20"/>
        </w:rPr>
        <w:t xml:space="preserve">. Dalam </w:t>
      </w:r>
      <w:r w:rsidR="007935D4" w:rsidRPr="007935D4">
        <w:rPr>
          <w:rFonts w:asciiTheme="majorBidi" w:hAnsiTheme="majorBidi" w:cstheme="majorBidi"/>
          <w:sz w:val="24"/>
          <w:szCs w:val="24"/>
        </w:rPr>
        <w:t>QS. Al-Ḥujurāt (49): 10</w:t>
      </w:r>
      <w:r w:rsidR="007935D4">
        <w:rPr>
          <w:rFonts w:asciiTheme="majorBidi" w:hAnsiTheme="majorBidi" w:cstheme="majorBidi"/>
          <w:sz w:val="24"/>
          <w:szCs w:val="24"/>
        </w:rPr>
        <w:t>,</w:t>
      </w:r>
      <w:r w:rsidR="007935D4" w:rsidRPr="007935D4">
        <w:rPr>
          <w:rFonts w:asciiTheme="majorBidi" w:hAnsiTheme="majorBidi" w:cstheme="majorBidi"/>
          <w:sz w:val="24"/>
          <w:szCs w:val="24"/>
        </w:rPr>
        <w:t xml:space="preserve"> diterangkan bahwa mukmin sejati selalu menjunjung tinggi nilai persaudaraan dan kerukunan. Pada QS. Al-Ḥujurāt (49): 15</w:t>
      </w:r>
      <w:r w:rsidR="007935D4">
        <w:rPr>
          <w:rFonts w:asciiTheme="majorBidi" w:hAnsiTheme="majorBidi" w:cstheme="majorBidi"/>
          <w:sz w:val="24"/>
          <w:szCs w:val="24"/>
        </w:rPr>
        <w:t>,</w:t>
      </w:r>
      <w:r w:rsidR="007935D4" w:rsidRPr="007935D4">
        <w:rPr>
          <w:rFonts w:asciiTheme="majorBidi" w:hAnsiTheme="majorBidi" w:cstheme="majorBidi"/>
          <w:sz w:val="24"/>
          <w:szCs w:val="24"/>
        </w:rPr>
        <w:t xml:space="preserve"> dipaparkan bahwa mukmin sejati adalah orang-orang yang jihad sesuai dengan kapasitas yang dimilikinya</w:t>
      </w:r>
      <w:r w:rsidR="007935D4">
        <w:rPr>
          <w:rFonts w:asciiTheme="majorBidi" w:hAnsiTheme="majorBidi" w:cstheme="majorBidi"/>
          <w:sz w:val="24"/>
          <w:szCs w:val="24"/>
        </w:rPr>
        <w:t xml:space="preserve"> sesuai situasi dan kondisi</w:t>
      </w:r>
      <w:r w:rsidR="007935D4" w:rsidRPr="007935D4">
        <w:rPr>
          <w:rFonts w:asciiTheme="majorBidi" w:hAnsiTheme="majorBidi" w:cstheme="majorBidi"/>
          <w:sz w:val="24"/>
          <w:szCs w:val="24"/>
        </w:rPr>
        <w:t>.</w:t>
      </w:r>
    </w:p>
    <w:p w:rsidR="00A70BB8" w:rsidRDefault="00A70BB8">
      <w:pPr>
        <w:rPr>
          <w:rFonts w:asciiTheme="majorBidi" w:hAnsiTheme="majorBidi" w:cstheme="majorBidi"/>
          <w:b/>
          <w:bCs/>
          <w:sz w:val="24"/>
          <w:szCs w:val="24"/>
        </w:rPr>
        <w:sectPr w:rsidR="00A70BB8" w:rsidSect="00A70BB8">
          <w:type w:val="continuous"/>
          <w:pgSz w:w="11906" w:h="16838" w:code="9"/>
          <w:pgMar w:top="1701" w:right="1134" w:bottom="1418" w:left="1134" w:header="709" w:footer="709" w:gutter="0"/>
          <w:cols w:num="2" w:space="708"/>
          <w:docGrid w:linePitch="360"/>
        </w:sectPr>
      </w:pPr>
    </w:p>
    <w:p w:rsidR="0006699E" w:rsidRDefault="0006699E" w:rsidP="00A70BB8">
      <w:pPr>
        <w:jc w:val="center"/>
        <w:rPr>
          <w:rFonts w:asciiTheme="majorBidi" w:hAnsiTheme="majorBidi" w:cstheme="majorBidi"/>
          <w:b/>
          <w:bCs/>
          <w:sz w:val="24"/>
          <w:szCs w:val="24"/>
        </w:rPr>
      </w:pPr>
      <w:bookmarkStart w:id="0" w:name="_GoBack"/>
      <w:bookmarkEnd w:id="0"/>
      <w:r>
        <w:rPr>
          <w:rFonts w:asciiTheme="majorBidi" w:hAnsiTheme="majorBidi" w:cstheme="majorBidi"/>
          <w:b/>
          <w:bCs/>
          <w:sz w:val="24"/>
          <w:szCs w:val="24"/>
        </w:rPr>
        <w:lastRenderedPageBreak/>
        <w:t>DAFTAR PUSTAKA</w:t>
      </w:r>
    </w:p>
    <w:p w:rsidR="00A70BB8" w:rsidRDefault="00A70BB8" w:rsidP="00DF323A">
      <w:pPr>
        <w:spacing w:after="0"/>
        <w:jc w:val="center"/>
        <w:rPr>
          <w:rFonts w:asciiTheme="majorBidi" w:hAnsiTheme="majorBidi" w:cstheme="majorBidi"/>
          <w:b/>
          <w:bCs/>
          <w:sz w:val="24"/>
          <w:szCs w:val="24"/>
        </w:rPr>
      </w:pPr>
    </w:p>
    <w:p w:rsidR="00A70BB8" w:rsidRDefault="00A70BB8" w:rsidP="00DF323A">
      <w:pPr>
        <w:pStyle w:val="Bibliography"/>
        <w:jc w:val="both"/>
        <w:rPr>
          <w:rFonts w:asciiTheme="majorBidi" w:hAnsiTheme="majorBidi" w:cstheme="majorBidi"/>
        </w:rPr>
        <w:sectPr w:rsidR="00A70BB8" w:rsidSect="00A70BB8">
          <w:type w:val="continuous"/>
          <w:pgSz w:w="11906" w:h="16838" w:code="9"/>
          <w:pgMar w:top="1701" w:right="1134" w:bottom="1418" w:left="1134" w:header="709" w:footer="709" w:gutter="0"/>
          <w:cols w:space="708"/>
          <w:docGrid w:linePitch="360"/>
        </w:sectPr>
      </w:pPr>
    </w:p>
    <w:p w:rsidR="00E96482" w:rsidRPr="00E96482" w:rsidRDefault="00E96482" w:rsidP="00DF323A">
      <w:pPr>
        <w:pStyle w:val="Bibliography"/>
        <w:jc w:val="both"/>
        <w:rPr>
          <w:rFonts w:ascii="Times New Roman" w:hAnsi="Times New Roman" w:cs="Times New Roman"/>
          <w:sz w:val="24"/>
        </w:rPr>
      </w:pPr>
      <w:r>
        <w:rPr>
          <w:rFonts w:asciiTheme="majorBidi" w:hAnsiTheme="majorBidi" w:cstheme="majorBidi"/>
        </w:rPr>
        <w:lastRenderedPageBreak/>
        <w:fldChar w:fldCharType="begin"/>
      </w:r>
      <w:r>
        <w:rPr>
          <w:rFonts w:asciiTheme="majorBidi" w:hAnsiTheme="majorBidi" w:cstheme="majorBidi"/>
        </w:rPr>
        <w:instrText xml:space="preserve"> ADDIN ZOTERO_BIBL {"uncited":[],"omitted":[],"custom":[]} CSL_BIBLIOGRAPHY </w:instrText>
      </w:r>
      <w:r>
        <w:rPr>
          <w:rFonts w:asciiTheme="majorBidi" w:hAnsiTheme="majorBidi" w:cstheme="majorBidi"/>
        </w:rPr>
        <w:fldChar w:fldCharType="separate"/>
      </w:r>
      <w:r w:rsidRPr="00E96482">
        <w:rPr>
          <w:rFonts w:ascii="Times New Roman" w:hAnsi="Times New Roman" w:cs="Times New Roman"/>
          <w:sz w:val="24"/>
        </w:rPr>
        <w:t xml:space="preserve">Al-Asyfihāni, Ragib. </w:t>
      </w:r>
      <w:r w:rsidRPr="00E96482">
        <w:rPr>
          <w:rFonts w:ascii="Times New Roman" w:hAnsi="Times New Roman" w:cs="Times New Roman"/>
          <w:i/>
          <w:iCs/>
          <w:sz w:val="24"/>
        </w:rPr>
        <w:t>Mufradāt li alfadz al-Qur’an</w:t>
      </w:r>
      <w:r w:rsidRPr="00E96482">
        <w:rPr>
          <w:rFonts w:ascii="Times New Roman" w:hAnsi="Times New Roman" w:cs="Times New Roman"/>
          <w:sz w:val="24"/>
        </w:rPr>
        <w:t>. Beirut: Dār al-Kutub al-Alamiyyah, 2015.</w:t>
      </w:r>
    </w:p>
    <w:p w:rsidR="00E96482" w:rsidRPr="00E96482" w:rsidRDefault="00E96482" w:rsidP="00DF323A">
      <w:pPr>
        <w:pStyle w:val="Bibliography"/>
        <w:jc w:val="both"/>
        <w:rPr>
          <w:rFonts w:ascii="Times New Roman" w:hAnsi="Times New Roman" w:cs="Times New Roman"/>
          <w:sz w:val="24"/>
        </w:rPr>
      </w:pPr>
      <w:r w:rsidRPr="00E96482">
        <w:rPr>
          <w:rFonts w:ascii="Times New Roman" w:hAnsi="Times New Roman" w:cs="Times New Roman"/>
          <w:sz w:val="24"/>
        </w:rPr>
        <w:t xml:space="preserve">Al-Banna, Gamal. </w:t>
      </w:r>
      <w:r w:rsidRPr="00E96482">
        <w:rPr>
          <w:rFonts w:ascii="Times New Roman" w:hAnsi="Times New Roman" w:cs="Times New Roman"/>
          <w:i/>
          <w:iCs/>
          <w:sz w:val="24"/>
        </w:rPr>
        <w:t>Jihad</w:t>
      </w:r>
      <w:r w:rsidRPr="00E96482">
        <w:rPr>
          <w:rFonts w:ascii="Times New Roman" w:hAnsi="Times New Roman" w:cs="Times New Roman"/>
          <w:sz w:val="24"/>
        </w:rPr>
        <w:t>. Jakarta: Mata Air Publishing, 2006.</w:t>
      </w:r>
    </w:p>
    <w:p w:rsidR="00E96482" w:rsidRPr="00E96482" w:rsidRDefault="00E96482" w:rsidP="00DF323A">
      <w:pPr>
        <w:pStyle w:val="Bibliography"/>
        <w:jc w:val="both"/>
        <w:rPr>
          <w:rFonts w:ascii="Times New Roman" w:hAnsi="Times New Roman" w:cs="Times New Roman"/>
          <w:sz w:val="24"/>
        </w:rPr>
      </w:pPr>
      <w:r w:rsidRPr="00E96482">
        <w:rPr>
          <w:rFonts w:ascii="Times New Roman" w:hAnsi="Times New Roman" w:cs="Times New Roman"/>
          <w:sz w:val="24"/>
        </w:rPr>
        <w:t xml:space="preserve">Arafat, Ahmad Tajuddin. </w:t>
      </w:r>
      <w:r w:rsidR="00DF323A" w:rsidRPr="00E96482">
        <w:rPr>
          <w:rFonts w:ascii="Times New Roman" w:hAnsi="Times New Roman" w:cs="Times New Roman"/>
          <w:sz w:val="24"/>
        </w:rPr>
        <w:t xml:space="preserve">“Etika Perdamaian Islam Dalam Wacana Global.” </w:t>
      </w:r>
      <w:r w:rsidR="00DF323A" w:rsidRPr="00E96482">
        <w:rPr>
          <w:rFonts w:ascii="Times New Roman" w:hAnsi="Times New Roman" w:cs="Times New Roman"/>
          <w:i/>
          <w:iCs/>
          <w:sz w:val="24"/>
        </w:rPr>
        <w:t>Kontemplasi</w:t>
      </w:r>
      <w:r w:rsidR="00DF323A" w:rsidRPr="00E96482">
        <w:rPr>
          <w:rFonts w:ascii="Times New Roman" w:hAnsi="Times New Roman" w:cs="Times New Roman"/>
          <w:sz w:val="24"/>
        </w:rPr>
        <w:t>, No. 1, Vol. 5 (2017): 1–20.</w:t>
      </w:r>
    </w:p>
    <w:p w:rsidR="00E96482" w:rsidRPr="00E96482" w:rsidRDefault="00E96482" w:rsidP="00DF323A">
      <w:pPr>
        <w:pStyle w:val="Bibliography"/>
        <w:jc w:val="both"/>
        <w:rPr>
          <w:rFonts w:ascii="Times New Roman" w:hAnsi="Times New Roman" w:cs="Times New Roman"/>
          <w:sz w:val="24"/>
        </w:rPr>
      </w:pPr>
      <w:r w:rsidRPr="00E96482">
        <w:rPr>
          <w:rFonts w:ascii="Times New Roman" w:hAnsi="Times New Roman" w:cs="Times New Roman"/>
          <w:sz w:val="24"/>
        </w:rPr>
        <w:t xml:space="preserve">Arib, Maqbul. </w:t>
      </w:r>
      <w:r w:rsidR="00DF323A" w:rsidRPr="00E96482">
        <w:rPr>
          <w:rFonts w:ascii="Times New Roman" w:hAnsi="Times New Roman" w:cs="Times New Roman"/>
          <w:sz w:val="24"/>
        </w:rPr>
        <w:t>“Dakw</w:t>
      </w:r>
      <w:r w:rsidR="00AB400E">
        <w:rPr>
          <w:rFonts w:ascii="Times New Roman" w:hAnsi="Times New Roman" w:cs="Times New Roman"/>
          <w:sz w:val="24"/>
        </w:rPr>
        <w:t>ah d</w:t>
      </w:r>
      <w:r w:rsidR="00DF323A">
        <w:rPr>
          <w:rFonts w:ascii="Times New Roman" w:hAnsi="Times New Roman" w:cs="Times New Roman"/>
          <w:sz w:val="24"/>
        </w:rPr>
        <w:t>i Tengah Keragaman d</w:t>
      </w:r>
      <w:r w:rsidR="00DF323A" w:rsidRPr="00E96482">
        <w:rPr>
          <w:rFonts w:ascii="Times New Roman" w:hAnsi="Times New Roman" w:cs="Times New Roman"/>
          <w:sz w:val="24"/>
        </w:rPr>
        <w:t xml:space="preserve">an Perbedaan Umat </w:t>
      </w:r>
      <w:r w:rsidR="00DF323A" w:rsidRPr="00E96482">
        <w:rPr>
          <w:rFonts w:ascii="Times New Roman" w:hAnsi="Times New Roman" w:cs="Times New Roman"/>
          <w:sz w:val="24"/>
        </w:rPr>
        <w:lastRenderedPageBreak/>
        <w:t xml:space="preserve">Islam.” </w:t>
      </w:r>
      <w:r w:rsidR="00DF323A" w:rsidRPr="00E96482">
        <w:rPr>
          <w:rFonts w:ascii="Times New Roman" w:hAnsi="Times New Roman" w:cs="Times New Roman"/>
          <w:i/>
          <w:iCs/>
          <w:sz w:val="24"/>
        </w:rPr>
        <w:t>Jurnal Dakwah Tabligh</w:t>
      </w:r>
      <w:r w:rsidR="00DF323A" w:rsidRPr="00E96482">
        <w:rPr>
          <w:rFonts w:ascii="Times New Roman" w:hAnsi="Times New Roman" w:cs="Times New Roman"/>
          <w:sz w:val="24"/>
        </w:rPr>
        <w:t xml:space="preserve"> 15, </w:t>
      </w:r>
      <w:r w:rsidRPr="00E96482">
        <w:rPr>
          <w:rFonts w:ascii="Times New Roman" w:hAnsi="Times New Roman" w:cs="Times New Roman"/>
          <w:sz w:val="24"/>
        </w:rPr>
        <w:t xml:space="preserve">no. 1 (2014): 35–49. </w:t>
      </w:r>
    </w:p>
    <w:p w:rsidR="00E96482" w:rsidRPr="00E96482" w:rsidRDefault="00E96482" w:rsidP="00DF323A">
      <w:pPr>
        <w:pStyle w:val="Bibliography"/>
        <w:jc w:val="both"/>
        <w:rPr>
          <w:rFonts w:ascii="Times New Roman" w:hAnsi="Times New Roman" w:cs="Times New Roman"/>
          <w:sz w:val="24"/>
        </w:rPr>
      </w:pPr>
      <w:r w:rsidRPr="00E96482">
        <w:rPr>
          <w:rFonts w:ascii="Times New Roman" w:hAnsi="Times New Roman" w:cs="Times New Roman"/>
          <w:sz w:val="24"/>
        </w:rPr>
        <w:t xml:space="preserve">Armayanto, Harda. “Etika Al-Qur’an Terhadap Non-Muslim.” </w:t>
      </w:r>
      <w:r w:rsidR="00DF323A" w:rsidRPr="00E96482">
        <w:rPr>
          <w:rFonts w:ascii="Times New Roman" w:hAnsi="Times New Roman" w:cs="Times New Roman"/>
          <w:i/>
          <w:iCs/>
          <w:sz w:val="24"/>
        </w:rPr>
        <w:t>Tsaqafah</w:t>
      </w:r>
      <w:r w:rsidR="00DF323A" w:rsidRPr="00E96482">
        <w:rPr>
          <w:rFonts w:ascii="Times New Roman" w:hAnsi="Times New Roman" w:cs="Times New Roman"/>
          <w:sz w:val="24"/>
        </w:rPr>
        <w:t xml:space="preserve"> 9, No. 2 (30 November 2013): 289–306.</w:t>
      </w:r>
    </w:p>
    <w:p w:rsidR="00E96482" w:rsidRPr="00E96482" w:rsidRDefault="00E96482" w:rsidP="00DF323A">
      <w:pPr>
        <w:pStyle w:val="Bibliography"/>
        <w:jc w:val="both"/>
        <w:rPr>
          <w:rFonts w:ascii="Times New Roman" w:hAnsi="Times New Roman" w:cs="Times New Roman"/>
          <w:sz w:val="24"/>
        </w:rPr>
      </w:pPr>
      <w:r w:rsidRPr="00E96482">
        <w:rPr>
          <w:rFonts w:ascii="Times New Roman" w:hAnsi="Times New Roman" w:cs="Times New Roman"/>
          <w:sz w:val="24"/>
        </w:rPr>
        <w:t xml:space="preserve">Bāqī, Fuad ‘Abdul. </w:t>
      </w:r>
      <w:r w:rsidRPr="00E96482">
        <w:rPr>
          <w:rFonts w:ascii="Times New Roman" w:hAnsi="Times New Roman" w:cs="Times New Roman"/>
          <w:i/>
          <w:iCs/>
          <w:sz w:val="24"/>
        </w:rPr>
        <w:t>al-Mu’jam al-Mufahrasy li alfāż al-Qurān al-karīm</w:t>
      </w:r>
      <w:r w:rsidRPr="00E96482">
        <w:rPr>
          <w:rFonts w:ascii="Times New Roman" w:hAnsi="Times New Roman" w:cs="Times New Roman"/>
          <w:sz w:val="24"/>
        </w:rPr>
        <w:t>. Beirut: Dār al-Fikr al-Islāmy, 1998.</w:t>
      </w:r>
    </w:p>
    <w:p w:rsidR="00E96482" w:rsidRPr="00E96482" w:rsidRDefault="00E96482" w:rsidP="00DF323A">
      <w:pPr>
        <w:pStyle w:val="Bibliography"/>
        <w:jc w:val="both"/>
        <w:rPr>
          <w:rFonts w:ascii="Times New Roman" w:hAnsi="Times New Roman" w:cs="Times New Roman"/>
          <w:sz w:val="24"/>
        </w:rPr>
      </w:pPr>
      <w:r w:rsidRPr="00E96482">
        <w:rPr>
          <w:rFonts w:ascii="Times New Roman" w:hAnsi="Times New Roman" w:cs="Times New Roman"/>
          <w:sz w:val="24"/>
        </w:rPr>
        <w:t xml:space="preserve">Bruinessen, Martin Van. </w:t>
      </w:r>
      <w:r w:rsidRPr="00E96482">
        <w:rPr>
          <w:rFonts w:ascii="Times New Roman" w:hAnsi="Times New Roman" w:cs="Times New Roman"/>
          <w:i/>
          <w:iCs/>
          <w:sz w:val="24"/>
        </w:rPr>
        <w:t>Kitab Kuning, Pesantren, dan Tarekat</w:t>
      </w:r>
      <w:r w:rsidRPr="00E96482">
        <w:rPr>
          <w:rFonts w:ascii="Times New Roman" w:hAnsi="Times New Roman" w:cs="Times New Roman"/>
          <w:sz w:val="24"/>
        </w:rPr>
        <w:t>. Yogyakarta: Gading Publishing, 2015.</w:t>
      </w:r>
    </w:p>
    <w:p w:rsidR="00E96482" w:rsidRPr="00E96482" w:rsidRDefault="00E96482" w:rsidP="00DF323A">
      <w:pPr>
        <w:pStyle w:val="Bibliography"/>
        <w:jc w:val="both"/>
        <w:rPr>
          <w:rFonts w:ascii="Times New Roman" w:hAnsi="Times New Roman" w:cs="Times New Roman"/>
          <w:sz w:val="24"/>
        </w:rPr>
      </w:pPr>
      <w:r w:rsidRPr="00E96482">
        <w:rPr>
          <w:rFonts w:ascii="Times New Roman" w:hAnsi="Times New Roman" w:cs="Times New Roman"/>
          <w:sz w:val="24"/>
        </w:rPr>
        <w:lastRenderedPageBreak/>
        <w:t xml:space="preserve">Chirzin, Muhammad. </w:t>
      </w:r>
      <w:r w:rsidRPr="00E96482">
        <w:rPr>
          <w:rFonts w:ascii="Times New Roman" w:hAnsi="Times New Roman" w:cs="Times New Roman"/>
          <w:i/>
          <w:iCs/>
          <w:sz w:val="24"/>
        </w:rPr>
        <w:t>Buku Pintar Asbabun Nuzul</w:t>
      </w:r>
      <w:r w:rsidRPr="00E96482">
        <w:rPr>
          <w:rFonts w:ascii="Times New Roman" w:hAnsi="Times New Roman" w:cs="Times New Roman"/>
          <w:sz w:val="24"/>
        </w:rPr>
        <w:t>. Jakarta: Zaman, 2011.</w:t>
      </w:r>
    </w:p>
    <w:p w:rsidR="00E96482" w:rsidRPr="00E96482" w:rsidRDefault="00E96482" w:rsidP="00DF323A">
      <w:pPr>
        <w:pStyle w:val="Bibliography"/>
        <w:jc w:val="both"/>
        <w:rPr>
          <w:rFonts w:ascii="Times New Roman" w:hAnsi="Times New Roman" w:cs="Times New Roman"/>
          <w:sz w:val="24"/>
        </w:rPr>
      </w:pPr>
      <w:r w:rsidRPr="00E96482">
        <w:rPr>
          <w:rFonts w:ascii="Times New Roman" w:hAnsi="Times New Roman" w:cs="Times New Roman"/>
          <w:sz w:val="24"/>
        </w:rPr>
        <w:t xml:space="preserve">dkk., Alfanul Makky. </w:t>
      </w:r>
      <w:r w:rsidRPr="00E96482">
        <w:rPr>
          <w:rFonts w:ascii="Times New Roman" w:hAnsi="Times New Roman" w:cs="Times New Roman"/>
          <w:i/>
          <w:iCs/>
          <w:sz w:val="24"/>
        </w:rPr>
        <w:t>Kritik Ideologi Radikal</w:t>
      </w:r>
      <w:r w:rsidRPr="00E96482">
        <w:rPr>
          <w:rFonts w:ascii="Times New Roman" w:hAnsi="Times New Roman" w:cs="Times New Roman"/>
          <w:sz w:val="24"/>
        </w:rPr>
        <w:t>. Kediri: Lirboyo Press, 2018.</w:t>
      </w:r>
    </w:p>
    <w:p w:rsidR="00E96482" w:rsidRPr="00E96482" w:rsidRDefault="00E96482" w:rsidP="00DF323A">
      <w:pPr>
        <w:pStyle w:val="Bibliography"/>
        <w:jc w:val="both"/>
        <w:rPr>
          <w:rFonts w:ascii="Times New Roman" w:hAnsi="Times New Roman" w:cs="Times New Roman"/>
          <w:sz w:val="24"/>
        </w:rPr>
      </w:pPr>
      <w:r w:rsidRPr="00E96482">
        <w:rPr>
          <w:rFonts w:ascii="Times New Roman" w:hAnsi="Times New Roman" w:cs="Times New Roman"/>
          <w:sz w:val="24"/>
        </w:rPr>
        <w:t xml:space="preserve">Ghazali, Muhammad Ibn Muhammad al-. </w:t>
      </w:r>
      <w:r w:rsidRPr="00E96482">
        <w:rPr>
          <w:rFonts w:ascii="Times New Roman" w:hAnsi="Times New Roman" w:cs="Times New Roman"/>
          <w:i/>
          <w:iCs/>
          <w:sz w:val="24"/>
        </w:rPr>
        <w:t>Ihyā’ ‘Ulumuddin</w:t>
      </w:r>
      <w:r w:rsidRPr="00E96482">
        <w:rPr>
          <w:rFonts w:ascii="Times New Roman" w:hAnsi="Times New Roman" w:cs="Times New Roman"/>
          <w:sz w:val="24"/>
        </w:rPr>
        <w:t>. Beirut: Dār Ibn al-Qayyim, 1997.</w:t>
      </w:r>
    </w:p>
    <w:p w:rsidR="00E96482" w:rsidRPr="00E96482" w:rsidRDefault="00E96482" w:rsidP="00DF323A">
      <w:pPr>
        <w:pStyle w:val="Bibliography"/>
        <w:jc w:val="both"/>
        <w:rPr>
          <w:rFonts w:ascii="Times New Roman" w:hAnsi="Times New Roman" w:cs="Times New Roman"/>
          <w:sz w:val="24"/>
        </w:rPr>
      </w:pPr>
      <w:r w:rsidRPr="00E96482">
        <w:rPr>
          <w:rFonts w:ascii="Times New Roman" w:hAnsi="Times New Roman" w:cs="Times New Roman"/>
          <w:sz w:val="24"/>
        </w:rPr>
        <w:t xml:space="preserve">Gusmian, Islah. </w:t>
      </w:r>
      <w:r w:rsidRPr="00E96482">
        <w:rPr>
          <w:rFonts w:ascii="Times New Roman" w:hAnsi="Times New Roman" w:cs="Times New Roman"/>
          <w:i/>
          <w:iCs/>
          <w:sz w:val="24"/>
        </w:rPr>
        <w:t>Khazanah Tafsir Indonesia dari Hermeneutika Hingga Ideologi</w:t>
      </w:r>
      <w:r w:rsidRPr="00E96482">
        <w:rPr>
          <w:rFonts w:ascii="Times New Roman" w:hAnsi="Times New Roman" w:cs="Times New Roman"/>
          <w:sz w:val="24"/>
        </w:rPr>
        <w:t>. Teraju: Jakarta, 2013.</w:t>
      </w:r>
    </w:p>
    <w:p w:rsidR="00E96482" w:rsidRPr="00E96482" w:rsidRDefault="00E96482" w:rsidP="00DF323A">
      <w:pPr>
        <w:pStyle w:val="Bibliography"/>
        <w:jc w:val="both"/>
        <w:rPr>
          <w:rFonts w:ascii="Times New Roman" w:hAnsi="Times New Roman" w:cs="Times New Roman"/>
          <w:sz w:val="24"/>
        </w:rPr>
      </w:pPr>
      <w:r w:rsidRPr="00E96482">
        <w:rPr>
          <w:rFonts w:ascii="Times New Roman" w:hAnsi="Times New Roman" w:cs="Times New Roman"/>
          <w:sz w:val="24"/>
        </w:rPr>
        <w:t xml:space="preserve">Ibn Al-hajjah Abu al-Husain al-Qusyairi al-Naisaburi, Muslim. </w:t>
      </w:r>
      <w:r w:rsidRPr="00E96482">
        <w:rPr>
          <w:rFonts w:ascii="Times New Roman" w:hAnsi="Times New Roman" w:cs="Times New Roman"/>
          <w:i/>
          <w:iCs/>
          <w:sz w:val="24"/>
        </w:rPr>
        <w:t>ṣahih Muslim</w:t>
      </w:r>
      <w:r w:rsidRPr="00E96482">
        <w:rPr>
          <w:rFonts w:ascii="Times New Roman" w:hAnsi="Times New Roman" w:cs="Times New Roman"/>
          <w:sz w:val="24"/>
        </w:rPr>
        <w:t>. Beirut: Dâr al-Kutub al-Alamiyyah, 1998.</w:t>
      </w:r>
    </w:p>
    <w:p w:rsidR="00E96482" w:rsidRPr="00E96482" w:rsidRDefault="00E96482" w:rsidP="00DF323A">
      <w:pPr>
        <w:pStyle w:val="Bibliography"/>
        <w:jc w:val="both"/>
        <w:rPr>
          <w:rFonts w:ascii="Times New Roman" w:hAnsi="Times New Roman" w:cs="Times New Roman"/>
          <w:sz w:val="24"/>
        </w:rPr>
      </w:pPr>
      <w:r w:rsidRPr="00E96482">
        <w:rPr>
          <w:rFonts w:ascii="Times New Roman" w:hAnsi="Times New Roman" w:cs="Times New Roman"/>
          <w:sz w:val="24"/>
        </w:rPr>
        <w:t xml:space="preserve">Junaedi, Didi. </w:t>
      </w:r>
      <w:r w:rsidR="00DF323A" w:rsidRPr="00E96482">
        <w:rPr>
          <w:rFonts w:ascii="Times New Roman" w:hAnsi="Times New Roman" w:cs="Times New Roman"/>
          <w:sz w:val="24"/>
        </w:rPr>
        <w:t xml:space="preserve">“Mengenal Lebih Dekat Metode Tafsir Maudlu’i.” </w:t>
      </w:r>
      <w:r w:rsidR="00DF323A" w:rsidRPr="00E96482">
        <w:rPr>
          <w:rFonts w:ascii="Times New Roman" w:hAnsi="Times New Roman" w:cs="Times New Roman"/>
          <w:i/>
          <w:iCs/>
          <w:sz w:val="24"/>
        </w:rPr>
        <w:t>Diya Al-Afkar: Jurnal Studi Al-Qur</w:t>
      </w:r>
      <w:r w:rsidRPr="00E96482">
        <w:rPr>
          <w:rFonts w:ascii="Times New Roman" w:hAnsi="Times New Roman" w:cs="Times New Roman"/>
          <w:i/>
          <w:iCs/>
          <w:sz w:val="24"/>
        </w:rPr>
        <w:t xml:space="preserve">an </w:t>
      </w:r>
      <w:r w:rsidR="00DF323A">
        <w:rPr>
          <w:rFonts w:ascii="Times New Roman" w:hAnsi="Times New Roman" w:cs="Times New Roman"/>
          <w:i/>
          <w:iCs/>
          <w:sz w:val="24"/>
        </w:rPr>
        <w:t>d</w:t>
      </w:r>
      <w:r w:rsidRPr="00E96482">
        <w:rPr>
          <w:rFonts w:ascii="Times New Roman" w:hAnsi="Times New Roman" w:cs="Times New Roman"/>
          <w:i/>
          <w:iCs/>
          <w:sz w:val="24"/>
        </w:rPr>
        <w:t xml:space="preserve">an </w:t>
      </w:r>
      <w:r w:rsidR="00DF323A" w:rsidRPr="00E96482">
        <w:rPr>
          <w:rFonts w:ascii="Times New Roman" w:hAnsi="Times New Roman" w:cs="Times New Roman"/>
          <w:i/>
          <w:iCs/>
          <w:sz w:val="24"/>
        </w:rPr>
        <w:t>Al-</w:t>
      </w:r>
      <w:r w:rsidRPr="00E96482">
        <w:rPr>
          <w:rFonts w:ascii="Times New Roman" w:hAnsi="Times New Roman" w:cs="Times New Roman"/>
          <w:i/>
          <w:iCs/>
          <w:sz w:val="24"/>
        </w:rPr>
        <w:t>Hadis</w:t>
      </w:r>
      <w:r w:rsidRPr="00E96482">
        <w:rPr>
          <w:rFonts w:ascii="Times New Roman" w:hAnsi="Times New Roman" w:cs="Times New Roman"/>
          <w:sz w:val="24"/>
        </w:rPr>
        <w:t xml:space="preserve"> </w:t>
      </w:r>
      <w:r w:rsidR="00DF323A" w:rsidRPr="00E96482">
        <w:rPr>
          <w:rFonts w:ascii="Times New Roman" w:hAnsi="Times New Roman" w:cs="Times New Roman"/>
          <w:sz w:val="24"/>
        </w:rPr>
        <w:t xml:space="preserve">4, No. 01 (1 </w:t>
      </w:r>
      <w:r w:rsidRPr="00E96482">
        <w:rPr>
          <w:rFonts w:ascii="Times New Roman" w:hAnsi="Times New Roman" w:cs="Times New Roman"/>
          <w:sz w:val="24"/>
        </w:rPr>
        <w:t xml:space="preserve">Juni </w:t>
      </w:r>
      <w:r w:rsidR="00DF323A" w:rsidRPr="00E96482">
        <w:rPr>
          <w:rFonts w:ascii="Times New Roman" w:hAnsi="Times New Roman" w:cs="Times New Roman"/>
          <w:sz w:val="24"/>
        </w:rPr>
        <w:t xml:space="preserve">2016). </w:t>
      </w:r>
    </w:p>
    <w:p w:rsidR="00E96482" w:rsidRPr="00E96482" w:rsidRDefault="00E96482" w:rsidP="00DF323A">
      <w:pPr>
        <w:pStyle w:val="Bibliography"/>
        <w:jc w:val="both"/>
        <w:rPr>
          <w:rFonts w:ascii="Times New Roman" w:hAnsi="Times New Roman" w:cs="Times New Roman"/>
          <w:sz w:val="24"/>
        </w:rPr>
      </w:pPr>
      <w:r w:rsidRPr="00E96482">
        <w:rPr>
          <w:rFonts w:ascii="Times New Roman" w:hAnsi="Times New Roman" w:cs="Times New Roman"/>
          <w:sz w:val="24"/>
        </w:rPr>
        <w:t xml:space="preserve">Karim, Abdul. </w:t>
      </w:r>
      <w:r w:rsidRPr="00E96482">
        <w:rPr>
          <w:rFonts w:ascii="Times New Roman" w:hAnsi="Times New Roman" w:cs="Times New Roman"/>
          <w:i/>
          <w:iCs/>
          <w:sz w:val="24"/>
        </w:rPr>
        <w:t>Sejarah Pemikiran dan Peradaban Islam</w:t>
      </w:r>
      <w:r w:rsidRPr="00E96482">
        <w:rPr>
          <w:rFonts w:ascii="Times New Roman" w:hAnsi="Times New Roman" w:cs="Times New Roman"/>
          <w:sz w:val="24"/>
        </w:rPr>
        <w:t>. Yogyakarta: Pustaka Book, 2007.</w:t>
      </w:r>
    </w:p>
    <w:p w:rsidR="00E96482" w:rsidRPr="00E96482" w:rsidRDefault="00E96482" w:rsidP="00DF323A">
      <w:pPr>
        <w:pStyle w:val="Bibliography"/>
        <w:jc w:val="both"/>
        <w:rPr>
          <w:rFonts w:ascii="Times New Roman" w:hAnsi="Times New Roman" w:cs="Times New Roman"/>
          <w:sz w:val="24"/>
        </w:rPr>
      </w:pPr>
      <w:r w:rsidRPr="00E96482">
        <w:rPr>
          <w:rFonts w:ascii="Times New Roman" w:hAnsi="Times New Roman" w:cs="Times New Roman"/>
          <w:sz w:val="24"/>
        </w:rPr>
        <w:t xml:space="preserve">Mahalli, Jalaluddin al-, dan Jalaluddin al-Suyuti. </w:t>
      </w:r>
      <w:r w:rsidRPr="00E96482">
        <w:rPr>
          <w:rFonts w:ascii="Times New Roman" w:hAnsi="Times New Roman" w:cs="Times New Roman"/>
          <w:i/>
          <w:iCs/>
          <w:sz w:val="24"/>
        </w:rPr>
        <w:t>Tafsir Jalālain</w:t>
      </w:r>
      <w:r w:rsidRPr="00E96482">
        <w:rPr>
          <w:rFonts w:ascii="Times New Roman" w:hAnsi="Times New Roman" w:cs="Times New Roman"/>
          <w:sz w:val="24"/>
        </w:rPr>
        <w:t>. Beirut: Dār al-Fikr al-Islāmy, 2017.</w:t>
      </w:r>
    </w:p>
    <w:p w:rsidR="00E96482" w:rsidRPr="00E96482" w:rsidRDefault="00E96482" w:rsidP="00DF323A">
      <w:pPr>
        <w:pStyle w:val="Bibliography"/>
        <w:jc w:val="both"/>
        <w:rPr>
          <w:rFonts w:ascii="Times New Roman" w:hAnsi="Times New Roman" w:cs="Times New Roman"/>
          <w:sz w:val="24"/>
        </w:rPr>
      </w:pPr>
      <w:r w:rsidRPr="00E96482">
        <w:rPr>
          <w:rFonts w:ascii="Times New Roman" w:hAnsi="Times New Roman" w:cs="Times New Roman"/>
          <w:sz w:val="24"/>
        </w:rPr>
        <w:t xml:space="preserve">Manzhur, Ibn. </w:t>
      </w:r>
      <w:r w:rsidRPr="00E96482">
        <w:rPr>
          <w:rFonts w:ascii="Times New Roman" w:hAnsi="Times New Roman" w:cs="Times New Roman"/>
          <w:i/>
          <w:iCs/>
          <w:sz w:val="24"/>
        </w:rPr>
        <w:t>Lisān al-Arab</w:t>
      </w:r>
      <w:r w:rsidRPr="00E96482">
        <w:rPr>
          <w:rFonts w:ascii="Times New Roman" w:hAnsi="Times New Roman" w:cs="Times New Roman"/>
          <w:sz w:val="24"/>
        </w:rPr>
        <w:t>. Beirut: Dār al-Kutub al-‘Alamiyyah, 1998.</w:t>
      </w:r>
    </w:p>
    <w:p w:rsidR="00E96482" w:rsidRPr="00E96482" w:rsidRDefault="00E96482" w:rsidP="00DF323A">
      <w:pPr>
        <w:pStyle w:val="Bibliography"/>
        <w:jc w:val="both"/>
        <w:rPr>
          <w:rFonts w:ascii="Times New Roman" w:hAnsi="Times New Roman" w:cs="Times New Roman"/>
          <w:sz w:val="24"/>
        </w:rPr>
      </w:pPr>
      <w:r w:rsidRPr="00E96482">
        <w:rPr>
          <w:rFonts w:ascii="Times New Roman" w:hAnsi="Times New Roman" w:cs="Times New Roman"/>
          <w:sz w:val="24"/>
        </w:rPr>
        <w:t xml:space="preserve">Misrawi, Zuhairi. </w:t>
      </w:r>
      <w:r w:rsidRPr="00E96482">
        <w:rPr>
          <w:rFonts w:ascii="Times New Roman" w:hAnsi="Times New Roman" w:cs="Times New Roman"/>
          <w:i/>
          <w:iCs/>
          <w:sz w:val="24"/>
        </w:rPr>
        <w:t>Madinah Kota Suci, Piagam Madinah, dan Teladan Muhammad SAW.</w:t>
      </w:r>
      <w:r w:rsidRPr="00E96482">
        <w:rPr>
          <w:rFonts w:ascii="Times New Roman" w:hAnsi="Times New Roman" w:cs="Times New Roman"/>
          <w:sz w:val="24"/>
        </w:rPr>
        <w:t xml:space="preserve"> Jakarta: Kompas Media Nusantara, 2009.</w:t>
      </w:r>
    </w:p>
    <w:p w:rsidR="00E96482" w:rsidRPr="00E96482" w:rsidRDefault="00E96482" w:rsidP="00DF323A">
      <w:pPr>
        <w:pStyle w:val="Bibliography"/>
        <w:jc w:val="both"/>
        <w:rPr>
          <w:rFonts w:ascii="Times New Roman" w:hAnsi="Times New Roman" w:cs="Times New Roman"/>
          <w:sz w:val="24"/>
        </w:rPr>
      </w:pPr>
      <w:r w:rsidRPr="00E96482">
        <w:rPr>
          <w:rFonts w:ascii="Times New Roman" w:hAnsi="Times New Roman" w:cs="Times New Roman"/>
          <w:sz w:val="24"/>
        </w:rPr>
        <w:t xml:space="preserve">Munawwir, Ahmad Warson. </w:t>
      </w:r>
      <w:r w:rsidRPr="00E96482">
        <w:rPr>
          <w:rFonts w:ascii="Times New Roman" w:hAnsi="Times New Roman" w:cs="Times New Roman"/>
          <w:i/>
          <w:iCs/>
          <w:sz w:val="24"/>
        </w:rPr>
        <w:t>Kamus al-Munawwir</w:t>
      </w:r>
      <w:r w:rsidRPr="00E96482">
        <w:rPr>
          <w:rFonts w:ascii="Times New Roman" w:hAnsi="Times New Roman" w:cs="Times New Roman"/>
          <w:sz w:val="24"/>
        </w:rPr>
        <w:t>. Surabaya: Pustaka Progressif, 1997.</w:t>
      </w:r>
    </w:p>
    <w:p w:rsidR="00E96482" w:rsidRPr="00E96482" w:rsidRDefault="00E96482" w:rsidP="00DF323A">
      <w:pPr>
        <w:pStyle w:val="Bibliography"/>
        <w:jc w:val="both"/>
        <w:rPr>
          <w:rFonts w:ascii="Times New Roman" w:hAnsi="Times New Roman" w:cs="Times New Roman"/>
          <w:sz w:val="24"/>
        </w:rPr>
      </w:pPr>
      <w:r w:rsidRPr="00E96482">
        <w:rPr>
          <w:rFonts w:ascii="Times New Roman" w:hAnsi="Times New Roman" w:cs="Times New Roman"/>
          <w:sz w:val="24"/>
        </w:rPr>
        <w:t xml:space="preserve">Mustaqim, Abdul. </w:t>
      </w:r>
      <w:r w:rsidRPr="00E96482">
        <w:rPr>
          <w:rFonts w:ascii="Times New Roman" w:hAnsi="Times New Roman" w:cs="Times New Roman"/>
          <w:i/>
          <w:iCs/>
          <w:sz w:val="24"/>
        </w:rPr>
        <w:t>Dinamika Sejarah Tafsir al-Qur’an</w:t>
      </w:r>
      <w:r w:rsidRPr="00E96482">
        <w:rPr>
          <w:rFonts w:ascii="Times New Roman" w:hAnsi="Times New Roman" w:cs="Times New Roman"/>
          <w:sz w:val="24"/>
        </w:rPr>
        <w:t>. Yogyakarta: Adab Press, 2014.</w:t>
      </w:r>
    </w:p>
    <w:p w:rsidR="00E96482" w:rsidRPr="00E96482" w:rsidRDefault="00E96482" w:rsidP="00DF323A">
      <w:pPr>
        <w:pStyle w:val="Bibliography"/>
        <w:jc w:val="both"/>
        <w:rPr>
          <w:rFonts w:ascii="Times New Roman" w:hAnsi="Times New Roman" w:cs="Times New Roman"/>
          <w:sz w:val="24"/>
        </w:rPr>
      </w:pPr>
      <w:r w:rsidRPr="00E96482">
        <w:rPr>
          <w:rFonts w:ascii="Times New Roman" w:hAnsi="Times New Roman" w:cs="Times New Roman"/>
          <w:sz w:val="24"/>
        </w:rPr>
        <w:t xml:space="preserve">Mustofa, Mustofa. </w:t>
      </w:r>
      <w:r w:rsidR="00DF323A" w:rsidRPr="00E96482">
        <w:rPr>
          <w:rFonts w:ascii="Times New Roman" w:hAnsi="Times New Roman" w:cs="Times New Roman"/>
          <w:sz w:val="24"/>
        </w:rPr>
        <w:t>“Kitab Kuning Sebagai Literatur Keislaman Dalam Konteks Perpustakaan Pesantren</w:t>
      </w:r>
      <w:r w:rsidRPr="00E96482">
        <w:rPr>
          <w:rFonts w:ascii="Times New Roman" w:hAnsi="Times New Roman" w:cs="Times New Roman"/>
          <w:sz w:val="24"/>
        </w:rPr>
        <w:t xml:space="preserve">.” </w:t>
      </w:r>
      <w:r w:rsidRPr="00E96482">
        <w:rPr>
          <w:rFonts w:ascii="Times New Roman" w:hAnsi="Times New Roman" w:cs="Times New Roman"/>
          <w:i/>
          <w:iCs/>
          <w:sz w:val="24"/>
        </w:rPr>
        <w:t>Tibanndaru : Jurnal Ilmu Perpustakaan dan Informasi</w:t>
      </w:r>
      <w:r w:rsidRPr="00E96482">
        <w:rPr>
          <w:rFonts w:ascii="Times New Roman" w:hAnsi="Times New Roman" w:cs="Times New Roman"/>
          <w:sz w:val="24"/>
        </w:rPr>
        <w:t xml:space="preserve"> 2, </w:t>
      </w:r>
      <w:r w:rsidR="00DF323A">
        <w:rPr>
          <w:rFonts w:ascii="Times New Roman" w:hAnsi="Times New Roman" w:cs="Times New Roman"/>
          <w:sz w:val="24"/>
        </w:rPr>
        <w:t>N</w:t>
      </w:r>
      <w:r w:rsidRPr="00E96482">
        <w:rPr>
          <w:rFonts w:ascii="Times New Roman" w:hAnsi="Times New Roman" w:cs="Times New Roman"/>
          <w:sz w:val="24"/>
        </w:rPr>
        <w:t xml:space="preserve">o. 2 (31 Januari 2019): 1–14. </w:t>
      </w:r>
    </w:p>
    <w:p w:rsidR="00E96482" w:rsidRPr="00E96482" w:rsidRDefault="00E96482" w:rsidP="00DF323A">
      <w:pPr>
        <w:pStyle w:val="Bibliography"/>
        <w:jc w:val="both"/>
        <w:rPr>
          <w:rFonts w:ascii="Times New Roman" w:hAnsi="Times New Roman" w:cs="Times New Roman"/>
          <w:sz w:val="24"/>
        </w:rPr>
      </w:pPr>
      <w:r w:rsidRPr="00E96482">
        <w:rPr>
          <w:rFonts w:ascii="Times New Roman" w:hAnsi="Times New Roman" w:cs="Times New Roman"/>
          <w:sz w:val="24"/>
        </w:rPr>
        <w:t xml:space="preserve">Nasution, Harun. </w:t>
      </w:r>
      <w:r w:rsidRPr="00E96482">
        <w:rPr>
          <w:rFonts w:ascii="Times New Roman" w:hAnsi="Times New Roman" w:cs="Times New Roman"/>
          <w:i/>
          <w:iCs/>
          <w:sz w:val="24"/>
        </w:rPr>
        <w:t>Teologi Islam: aliran-aliran sejarah analisa perbandingan</w:t>
      </w:r>
      <w:r w:rsidRPr="00E96482">
        <w:rPr>
          <w:rFonts w:ascii="Times New Roman" w:hAnsi="Times New Roman" w:cs="Times New Roman"/>
          <w:sz w:val="24"/>
        </w:rPr>
        <w:t>. Jakarta: Penerbit Universitas Indonesia, 1986.</w:t>
      </w:r>
    </w:p>
    <w:p w:rsidR="00E96482" w:rsidRPr="00E96482" w:rsidRDefault="00E96482" w:rsidP="00DF323A">
      <w:pPr>
        <w:pStyle w:val="Bibliography"/>
        <w:jc w:val="both"/>
        <w:rPr>
          <w:rFonts w:ascii="Times New Roman" w:hAnsi="Times New Roman" w:cs="Times New Roman"/>
          <w:sz w:val="24"/>
        </w:rPr>
      </w:pPr>
      <w:r w:rsidRPr="00E96482">
        <w:rPr>
          <w:rFonts w:ascii="Times New Roman" w:hAnsi="Times New Roman" w:cs="Times New Roman"/>
          <w:sz w:val="24"/>
        </w:rPr>
        <w:t xml:space="preserve">Rusdin, Rusdin. </w:t>
      </w:r>
      <w:r w:rsidR="00DF323A" w:rsidRPr="00E96482">
        <w:rPr>
          <w:rFonts w:ascii="Times New Roman" w:hAnsi="Times New Roman" w:cs="Times New Roman"/>
          <w:sz w:val="24"/>
        </w:rPr>
        <w:t xml:space="preserve">“Insan Kamil Dalam Perspektif Muhammad Iqbal.” </w:t>
      </w:r>
      <w:r w:rsidR="00DF323A" w:rsidRPr="00E96482">
        <w:rPr>
          <w:rFonts w:ascii="Times New Roman" w:hAnsi="Times New Roman" w:cs="Times New Roman"/>
          <w:i/>
          <w:iCs/>
          <w:sz w:val="24"/>
        </w:rPr>
        <w:t xml:space="preserve">Rausyan Fikr: Jurnal Studi Ilmu </w:t>
      </w:r>
      <w:r w:rsidR="00DF323A" w:rsidRPr="00E96482">
        <w:rPr>
          <w:rFonts w:ascii="Times New Roman" w:hAnsi="Times New Roman" w:cs="Times New Roman"/>
          <w:i/>
          <w:iCs/>
          <w:sz w:val="24"/>
        </w:rPr>
        <w:lastRenderedPageBreak/>
        <w:t>Ushuluddin Dan Filsafat</w:t>
      </w:r>
      <w:r w:rsidR="00DF323A" w:rsidRPr="00E96482">
        <w:rPr>
          <w:rFonts w:ascii="Times New Roman" w:hAnsi="Times New Roman" w:cs="Times New Roman"/>
          <w:sz w:val="24"/>
        </w:rPr>
        <w:t xml:space="preserve"> 12, No. 2 (2016): 251–71. </w:t>
      </w:r>
    </w:p>
    <w:p w:rsidR="00E96482" w:rsidRPr="00E96482" w:rsidRDefault="00DF323A" w:rsidP="00DF323A">
      <w:pPr>
        <w:pStyle w:val="Bibliography"/>
        <w:jc w:val="both"/>
        <w:rPr>
          <w:rFonts w:ascii="Times New Roman" w:hAnsi="Times New Roman" w:cs="Times New Roman"/>
          <w:sz w:val="24"/>
        </w:rPr>
      </w:pPr>
      <w:r w:rsidRPr="00E96482">
        <w:rPr>
          <w:rFonts w:ascii="Times New Roman" w:hAnsi="Times New Roman" w:cs="Times New Roman"/>
          <w:sz w:val="24"/>
        </w:rPr>
        <w:t>Setiawan, Eka Tresna. “Reinterpretasi Hadis-Hadis Intoleransi Agama Dalam Kutub Al-Tis’ah (Kajian Tematik).</w:t>
      </w:r>
      <w:r w:rsidR="00E96482" w:rsidRPr="00E96482">
        <w:rPr>
          <w:rFonts w:ascii="Times New Roman" w:hAnsi="Times New Roman" w:cs="Times New Roman"/>
          <w:sz w:val="24"/>
        </w:rPr>
        <w:t xml:space="preserve">” </w:t>
      </w:r>
      <w:r w:rsidR="00E96482" w:rsidRPr="00E96482">
        <w:rPr>
          <w:rFonts w:ascii="Times New Roman" w:hAnsi="Times New Roman" w:cs="Times New Roman"/>
          <w:i/>
          <w:iCs/>
          <w:sz w:val="24"/>
        </w:rPr>
        <w:t>Diya Al-Afkar: Jurnal Studi al-Quran dan al-Hadis</w:t>
      </w:r>
      <w:r w:rsidR="00E96482" w:rsidRPr="00E96482">
        <w:rPr>
          <w:rFonts w:ascii="Times New Roman" w:hAnsi="Times New Roman" w:cs="Times New Roman"/>
          <w:sz w:val="24"/>
        </w:rPr>
        <w:t xml:space="preserve"> 5, no. 01 (1 Juni 2017): 187–218. </w:t>
      </w:r>
    </w:p>
    <w:p w:rsidR="00E96482" w:rsidRPr="00E96482" w:rsidRDefault="00E96482" w:rsidP="00DF323A">
      <w:pPr>
        <w:pStyle w:val="Bibliography"/>
        <w:jc w:val="both"/>
        <w:rPr>
          <w:rFonts w:ascii="Times New Roman" w:hAnsi="Times New Roman" w:cs="Times New Roman"/>
          <w:sz w:val="24"/>
        </w:rPr>
      </w:pPr>
      <w:r w:rsidRPr="00E96482">
        <w:rPr>
          <w:rFonts w:ascii="Times New Roman" w:hAnsi="Times New Roman" w:cs="Times New Roman"/>
          <w:sz w:val="24"/>
        </w:rPr>
        <w:t xml:space="preserve">Verkuyten, Maykel, dan Luuk Slooter. “Muslim and Non-Muslim Adolescents’ Reasoning About Freedom of Speech and Minority Rights.” </w:t>
      </w:r>
      <w:r w:rsidRPr="00E96482">
        <w:rPr>
          <w:rFonts w:ascii="Times New Roman" w:hAnsi="Times New Roman" w:cs="Times New Roman"/>
          <w:i/>
          <w:iCs/>
          <w:sz w:val="24"/>
        </w:rPr>
        <w:t>Child Development</w:t>
      </w:r>
      <w:r w:rsidRPr="00E96482">
        <w:rPr>
          <w:rFonts w:ascii="Times New Roman" w:hAnsi="Times New Roman" w:cs="Times New Roman"/>
          <w:sz w:val="24"/>
        </w:rPr>
        <w:t xml:space="preserve"> 79, no. 3 (Mei 2008): 514–28. </w:t>
      </w:r>
    </w:p>
    <w:p w:rsidR="00E96482" w:rsidRPr="00E96482" w:rsidRDefault="00E96482" w:rsidP="00DF323A">
      <w:pPr>
        <w:pStyle w:val="Bibliography"/>
        <w:jc w:val="both"/>
        <w:rPr>
          <w:rFonts w:ascii="Times New Roman" w:hAnsi="Times New Roman" w:cs="Times New Roman"/>
          <w:sz w:val="24"/>
        </w:rPr>
      </w:pPr>
      <w:r w:rsidRPr="00E96482">
        <w:rPr>
          <w:rFonts w:ascii="Times New Roman" w:hAnsi="Times New Roman" w:cs="Times New Roman"/>
          <w:sz w:val="24"/>
        </w:rPr>
        <w:t>Zamawi, Baharudin, Habieb Bullah, dan Zubaidah Zubaidah. “</w:t>
      </w:r>
      <w:r w:rsidR="00DF323A" w:rsidRPr="00E96482">
        <w:rPr>
          <w:rFonts w:ascii="Times New Roman" w:hAnsi="Times New Roman" w:cs="Times New Roman"/>
          <w:sz w:val="24"/>
        </w:rPr>
        <w:t xml:space="preserve">Ayat Toleransi Dalam Al-Qur’an: Tinjauan Tafsir Marah Labid.” </w:t>
      </w:r>
      <w:r w:rsidR="00DF323A" w:rsidRPr="00E96482">
        <w:rPr>
          <w:rFonts w:ascii="Times New Roman" w:hAnsi="Times New Roman" w:cs="Times New Roman"/>
          <w:i/>
          <w:iCs/>
          <w:sz w:val="24"/>
        </w:rPr>
        <w:t>Diya Al-Af</w:t>
      </w:r>
      <w:r w:rsidRPr="00E96482">
        <w:rPr>
          <w:rFonts w:ascii="Times New Roman" w:hAnsi="Times New Roman" w:cs="Times New Roman"/>
          <w:i/>
          <w:iCs/>
          <w:sz w:val="24"/>
        </w:rPr>
        <w:t>kar: Jurnal Studi al-Quran dan al-Hadis</w:t>
      </w:r>
      <w:r w:rsidRPr="00E96482">
        <w:rPr>
          <w:rFonts w:ascii="Times New Roman" w:hAnsi="Times New Roman" w:cs="Times New Roman"/>
          <w:sz w:val="24"/>
        </w:rPr>
        <w:t xml:space="preserve"> 7,</w:t>
      </w:r>
      <w:r w:rsidR="00DF323A">
        <w:rPr>
          <w:rFonts w:ascii="Times New Roman" w:hAnsi="Times New Roman" w:cs="Times New Roman"/>
          <w:sz w:val="24"/>
        </w:rPr>
        <w:t xml:space="preserve"> no. 01 (30 Juni 2019): 185–97.</w:t>
      </w:r>
    </w:p>
    <w:p w:rsidR="00E96482" w:rsidRPr="00E96482" w:rsidRDefault="00E96482" w:rsidP="00DF323A">
      <w:pPr>
        <w:pStyle w:val="Bibliography"/>
        <w:jc w:val="both"/>
        <w:rPr>
          <w:rFonts w:ascii="Times New Roman" w:hAnsi="Times New Roman" w:cs="Times New Roman"/>
          <w:sz w:val="24"/>
        </w:rPr>
      </w:pPr>
      <w:r w:rsidRPr="00E96482">
        <w:rPr>
          <w:rFonts w:ascii="Times New Roman" w:hAnsi="Times New Roman" w:cs="Times New Roman"/>
          <w:sz w:val="24"/>
        </w:rPr>
        <w:t xml:space="preserve">Zuhdi, M. Nurdin. </w:t>
      </w:r>
      <w:r w:rsidR="00DF323A" w:rsidRPr="00E96482">
        <w:rPr>
          <w:rFonts w:ascii="Times New Roman" w:hAnsi="Times New Roman" w:cs="Times New Roman"/>
          <w:sz w:val="24"/>
        </w:rPr>
        <w:t>“Hermeneutika Al-Qur’an: Tipologi Tafsir Sebagai Solusi Dalam Memecahkan Isu-Isu Budaya Loka</w:t>
      </w:r>
      <w:r w:rsidRPr="00E96482">
        <w:rPr>
          <w:rFonts w:ascii="Times New Roman" w:hAnsi="Times New Roman" w:cs="Times New Roman"/>
          <w:sz w:val="24"/>
        </w:rPr>
        <w:t xml:space="preserve">l Keindonesiaan.” </w:t>
      </w:r>
      <w:r w:rsidRPr="00E96482">
        <w:rPr>
          <w:rFonts w:ascii="Times New Roman" w:hAnsi="Times New Roman" w:cs="Times New Roman"/>
          <w:i/>
          <w:iCs/>
          <w:sz w:val="24"/>
        </w:rPr>
        <w:t>ESENSIA: Jurnal Ilmu-Ilmu Ushuluddin</w:t>
      </w:r>
      <w:r w:rsidRPr="00E96482">
        <w:rPr>
          <w:rFonts w:ascii="Times New Roman" w:hAnsi="Times New Roman" w:cs="Times New Roman"/>
          <w:sz w:val="24"/>
        </w:rPr>
        <w:t xml:space="preserve"> 13, no. 2 (22 Juli 2012): 241. </w:t>
      </w:r>
    </w:p>
    <w:p w:rsidR="00E96482" w:rsidRPr="00E96482" w:rsidRDefault="00E96482" w:rsidP="00DF323A">
      <w:pPr>
        <w:pStyle w:val="Bibliography"/>
        <w:jc w:val="both"/>
        <w:rPr>
          <w:rFonts w:ascii="Times New Roman" w:hAnsi="Times New Roman" w:cs="Times New Roman"/>
          <w:sz w:val="24"/>
        </w:rPr>
      </w:pPr>
      <w:r w:rsidRPr="00E96482">
        <w:rPr>
          <w:rFonts w:ascii="Times New Roman" w:hAnsi="Times New Roman" w:cs="Times New Roman"/>
          <w:sz w:val="24"/>
        </w:rPr>
        <w:t xml:space="preserve">———. </w:t>
      </w:r>
      <w:r w:rsidRPr="00E96482">
        <w:rPr>
          <w:rFonts w:ascii="Times New Roman" w:hAnsi="Times New Roman" w:cs="Times New Roman"/>
          <w:i/>
          <w:iCs/>
          <w:sz w:val="24"/>
        </w:rPr>
        <w:t>Pasaraya tafsir Indonesia: dari kontestasi metodologi hingga kontekstualisasi</w:t>
      </w:r>
      <w:r w:rsidRPr="00E96482">
        <w:rPr>
          <w:rFonts w:ascii="Times New Roman" w:hAnsi="Times New Roman" w:cs="Times New Roman"/>
          <w:sz w:val="24"/>
        </w:rPr>
        <w:t>. Yogyakarta: Kaukaba, 2014.</w:t>
      </w:r>
    </w:p>
    <w:p w:rsidR="00E96482" w:rsidRPr="00E96482" w:rsidRDefault="00E96482" w:rsidP="00DF323A">
      <w:pPr>
        <w:spacing w:after="0"/>
        <w:jc w:val="both"/>
        <w:rPr>
          <w:rFonts w:asciiTheme="majorBidi" w:hAnsiTheme="majorBidi" w:cstheme="majorBidi"/>
          <w:sz w:val="24"/>
          <w:szCs w:val="24"/>
        </w:rPr>
      </w:pPr>
      <w:r>
        <w:rPr>
          <w:rFonts w:asciiTheme="majorBidi" w:hAnsiTheme="majorBidi" w:cstheme="majorBidi"/>
          <w:sz w:val="24"/>
          <w:szCs w:val="24"/>
        </w:rPr>
        <w:fldChar w:fldCharType="end"/>
      </w:r>
    </w:p>
    <w:sectPr w:rsidR="00E96482" w:rsidRPr="00E96482" w:rsidSect="00A70BB8">
      <w:type w:val="continuous"/>
      <w:pgSz w:w="11906" w:h="16838" w:code="9"/>
      <w:pgMar w:top="1701" w:right="1134" w:bottom="1418"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C6C" w:rsidRDefault="009B2C6C" w:rsidP="005A7C62">
      <w:pPr>
        <w:spacing w:after="0" w:line="240" w:lineRule="auto"/>
      </w:pPr>
      <w:r>
        <w:separator/>
      </w:r>
    </w:p>
  </w:endnote>
  <w:endnote w:type="continuationSeparator" w:id="0">
    <w:p w:rsidR="009B2C6C" w:rsidRDefault="009B2C6C" w:rsidP="005A7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PMQ Isep Misbah">
    <w:panose1 w:val="02000000000000000000"/>
    <w:charset w:val="00"/>
    <w:family w:val="auto"/>
    <w:pitch w:val="variable"/>
    <w:sig w:usb0="00002003" w:usb1="1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C6C" w:rsidRDefault="009B2C6C" w:rsidP="005A7C62">
      <w:pPr>
        <w:spacing w:after="0" w:line="240" w:lineRule="auto"/>
      </w:pPr>
      <w:r>
        <w:separator/>
      </w:r>
    </w:p>
  </w:footnote>
  <w:footnote w:type="continuationSeparator" w:id="0">
    <w:p w:rsidR="009B2C6C" w:rsidRDefault="009B2C6C" w:rsidP="005A7C62">
      <w:pPr>
        <w:spacing w:after="0" w:line="240" w:lineRule="auto"/>
      </w:pPr>
      <w:r>
        <w:continuationSeparator/>
      </w:r>
    </w:p>
  </w:footnote>
  <w:footnote w:id="1">
    <w:p w:rsidR="00382B86" w:rsidRPr="00D64C5A" w:rsidRDefault="00382B86" w:rsidP="00AB400E">
      <w:pPr>
        <w:pStyle w:val="FootnoteText"/>
        <w:ind w:firstLine="567"/>
        <w:jc w:val="both"/>
        <w:rPr>
          <w:rFonts w:asciiTheme="majorBidi" w:hAnsiTheme="majorBidi" w:cstheme="majorBidi"/>
        </w:rPr>
      </w:pPr>
      <w:r w:rsidRPr="00D64C5A">
        <w:rPr>
          <w:rStyle w:val="FootnoteReference"/>
          <w:rFonts w:asciiTheme="majorBidi" w:hAnsiTheme="majorBidi" w:cstheme="majorBidi"/>
        </w:rPr>
        <w:footnoteRef/>
      </w:r>
      <w:r w:rsidR="00D64C5A" w:rsidRPr="00D64C5A">
        <w:rPr>
          <w:rFonts w:asciiTheme="majorBidi" w:hAnsiTheme="majorBidi" w:cstheme="majorBidi"/>
        </w:rPr>
        <w:t xml:space="preserve"> </w:t>
      </w:r>
      <w:r w:rsidRPr="00D64C5A">
        <w:rPr>
          <w:rFonts w:asciiTheme="majorBidi" w:hAnsiTheme="majorBidi" w:cstheme="majorBidi"/>
        </w:rPr>
        <w:fldChar w:fldCharType="begin"/>
      </w:r>
      <w:r w:rsidRPr="00D64C5A">
        <w:rPr>
          <w:rFonts w:asciiTheme="majorBidi" w:hAnsiTheme="majorBidi" w:cstheme="majorBidi"/>
        </w:rPr>
        <w:instrText xml:space="preserve"> ADDIN ZOTERO_ITEM CSL_CITATION {"citationID":"hUvf5w5D","properties":{"formattedCitation":"Maqbul Arib, \\uc0\\u8220{}DAKWAH DI TENGAH KERAGAMAN DAN PERBEDAAN UMAT ISLAM,\\uc0\\u8221{} {\\i{}Jurnal Dakwah Tabligh} 15, no. 1 (2014): 35\\uc0\\u8211{}49, https://doi.org/10.24252/jdt.v15i1.337.","plainCitation":"Maqbul Arib, “DAKWAH DI TENGAH KERAGAMAN DAN PERBEDAAN UMAT ISLAM,” Jurnal Dakwah Tabligh 15, no. 1 (2014): 35–49, https://doi.org/10.24252/jdt.v15i1.337.","noteIndex":1},"citationItems":[{"id":316,"uris":["http://zotero.org/users/local/pOTnlTn6/items/AWM2NI6X"],"uri":["http://zotero.org/users/local/pOTnlTn6/items/AWM2NI6X"],"itemData":{"id":316,"type":"article-journal","title":"DAKWAH DI TENGAH KERAGAMAN DAN PERBEDAAN UMAT ISLAM","container-title":"Jurnal Dakwah Tabligh","page":"35-49","volume":"15","issue":"1","source":"journal.uin-alauddin.ac.id","abstract":"Abstract;\n\nIstilah pluralisme  sendiri  sesungguhnya  adalah  istilah  lama  yang  hari-hari  ini  kian mendapatkan  perhatian penuh dari semua orang. Dikatakan istilah lama karena perbincangan mengenai  pluralitas  telah  dielaborasi  secara  lebih jauh  oleh  para  pemikir  filsafat  Yunani  secara  konseptual  dengan  aneka  ragam alternatif memecahkannya. Para pemikir  tersebut mendefinisikan pluralitas   secara berbeda-beda lengkap dengan beragam tawaran solusi menghadapi  pluralitas. Pluralisme itu given, sementara konflik adalah sesuatu yang inhern di dalamnya.  Pertanyaan  selanjutnya  bagaimana  mengelola  pluralitas  dan  konflik yang ada sehingga menjadi sebuah energi  sosial bagi penciptaan  tatanan  bangsa yang  lebih baik. Jawabannya tentu panjang dengan melibatkan  pengkajian  seluruh  faktor   yang  ada.  Akan  tetapi  terkait dengan kajian ini (memahami pluralitas), ternyata menjaga kerukunan tidak cukup hanya memahami  keanekaragaman  yang ada di  sekitar  kita  secara  apatis  dan  pasif. Memahami pluralisme seharusnya melibatkan sikap diri secara pluralis pula. Sebuah sikap penuh empati, jujur dan adil menempatkan bagaian, perbedaan pada   tempatnya, yaitu dengan menghomati, memahami dan mengakui eksistensi orang lain, sebagaimana  menghormati  dan mengakui eksistensi diri sendiri. Oleh karena itu dengan memanfaatkan  potensi yang ada dalam dunia yang plural seperti ini, maka model dakwah  Islamiah akan lebih bermakna  (meaningfull)   jika  dilakukan dengan  melibatkan  kerjasama dengan  semua  pihak termasuk   mereka  yang  berada  di  luar Islam. Dengan  demikian,  pluralitas,  keragaman  atau kemajemukan  yang telah menjadi keniscayaan ini dapat dimanfaatkan sebagai \"energi sosial\" guna mengawal dan menetralisir  problematika umat manusia.\n\nKata Kunci:\nDakwah, Keragaman, Perbedaan\n\nThe term pluralism itself is actually the long term these days increasingly get the full attention of everyone. Said to be a long term because of the discussion of plurality is further elaborated by the thinkers of Greek philosophy is conceptually with a variety of alternatives to solve it. Thinkers are defining a plurality of differently complete with a variety of solutions to the plurality of bids. Pluralism was given, while the inherent conflict is something in it. The next question is how to manage plurality and conflicts that exist so that it becomes a social energy for the creation of the order of a better nation. The answer of course involves the assessment of the entire length of the existing factors. However, associated with this study (understanding plurality), turns out to maintain harmony is not enough just to understand the diversity that exists around us are apathetic and passive. Understanding pluralism should involve themselves in a pluralist attitude anyway. An empathetic attitude, honest and fair to put this part, the differences in place, namely with respect for, understanding and acknowledging the existence of others, as well as respect and acknowledge the existence of yourself. Therefore, by utilizing the potential that exists in a pluralistic world like this, then the model will be more meaningful Islamic da'wah (meaningfull) if done in cooperation with all parties involved, including those who are outside of Islam. Thus, plurality, diversity or pluralism that has become a necessity these can be used as a \"social energy\" to oversee and neutralize problems of mankind.\n\nKeywords:\nDa’wa, Diversity, Difference","DOI":"10.24252/jdt.v15i1.337","ISSN":"2549-662X","language":"en-US","author":[{"family":"Arib","given":"Maqbul"}],"issued":{"date-parts":[["2014"]]}}}],"schema":"https://github.com/citation-style-language/schema/raw/master/csl-citation.json"} </w:instrText>
      </w:r>
      <w:r w:rsidRPr="00D64C5A">
        <w:rPr>
          <w:rFonts w:asciiTheme="majorBidi" w:hAnsiTheme="majorBidi" w:cstheme="majorBidi"/>
        </w:rPr>
        <w:fldChar w:fldCharType="separate"/>
      </w:r>
      <w:r w:rsidR="00D64C5A" w:rsidRPr="00D64C5A">
        <w:rPr>
          <w:rFonts w:asciiTheme="majorBidi" w:hAnsiTheme="majorBidi" w:cstheme="majorBidi"/>
          <w:szCs w:val="24"/>
        </w:rPr>
        <w:t xml:space="preserve">Maqbul Arib, “Dakwah </w:t>
      </w:r>
      <w:r w:rsidR="00AB400E">
        <w:rPr>
          <w:rFonts w:asciiTheme="majorBidi" w:hAnsiTheme="majorBidi" w:cstheme="majorBidi"/>
          <w:szCs w:val="24"/>
        </w:rPr>
        <w:t>d</w:t>
      </w:r>
      <w:r w:rsidR="00D64C5A" w:rsidRPr="00D64C5A">
        <w:rPr>
          <w:rFonts w:asciiTheme="majorBidi" w:hAnsiTheme="majorBidi" w:cstheme="majorBidi"/>
          <w:szCs w:val="24"/>
        </w:rPr>
        <w:t xml:space="preserve">i Tengah Keragaman Dan Perbedaan Umat Islam,” </w:t>
      </w:r>
      <w:r w:rsidR="00D64C5A" w:rsidRPr="00D64C5A">
        <w:rPr>
          <w:rFonts w:asciiTheme="majorBidi" w:hAnsiTheme="majorBidi" w:cstheme="majorBidi"/>
          <w:i/>
          <w:iCs/>
          <w:szCs w:val="24"/>
        </w:rPr>
        <w:t>Jurnal Dakwah Tabligh</w:t>
      </w:r>
      <w:r w:rsidR="00D64C5A" w:rsidRPr="00D64C5A">
        <w:rPr>
          <w:rFonts w:asciiTheme="majorBidi" w:hAnsiTheme="majorBidi" w:cstheme="majorBidi"/>
          <w:szCs w:val="24"/>
        </w:rPr>
        <w:t xml:space="preserve"> 15, No. 1 (2014): 35–49</w:t>
      </w:r>
      <w:r w:rsidR="00D64C5A">
        <w:rPr>
          <w:rFonts w:asciiTheme="majorBidi" w:hAnsiTheme="majorBidi" w:cstheme="majorBidi"/>
          <w:szCs w:val="24"/>
        </w:rPr>
        <w:t>.</w:t>
      </w:r>
      <w:r w:rsidR="00D64C5A" w:rsidRPr="00D64C5A">
        <w:rPr>
          <w:rFonts w:asciiTheme="majorBidi" w:hAnsiTheme="majorBidi" w:cstheme="majorBidi"/>
          <w:szCs w:val="24"/>
        </w:rPr>
        <w:t xml:space="preserve"> </w:t>
      </w:r>
      <w:r w:rsidRPr="00D64C5A">
        <w:rPr>
          <w:rFonts w:asciiTheme="majorBidi" w:hAnsiTheme="majorBidi" w:cstheme="majorBidi"/>
        </w:rPr>
        <w:fldChar w:fldCharType="end"/>
      </w:r>
      <w:r w:rsidR="00AB400E">
        <w:rPr>
          <w:rFonts w:asciiTheme="majorBidi" w:hAnsiTheme="majorBidi" w:cstheme="majorBidi"/>
        </w:rPr>
        <w:t>Lihat</w:t>
      </w:r>
    </w:p>
  </w:footnote>
  <w:footnote w:id="2">
    <w:p w:rsidR="00382B86" w:rsidRPr="00D64C5A" w:rsidRDefault="00382B86" w:rsidP="00D64C5A">
      <w:pPr>
        <w:pStyle w:val="FootnoteText"/>
        <w:ind w:firstLine="567"/>
        <w:jc w:val="both"/>
        <w:rPr>
          <w:rFonts w:asciiTheme="majorBidi" w:hAnsiTheme="majorBidi" w:cstheme="majorBidi"/>
        </w:rPr>
      </w:pPr>
      <w:r w:rsidRPr="00D64C5A">
        <w:rPr>
          <w:rStyle w:val="FootnoteReference"/>
          <w:rFonts w:asciiTheme="majorBidi" w:hAnsiTheme="majorBidi" w:cstheme="majorBidi"/>
        </w:rPr>
        <w:footnoteRef/>
      </w:r>
      <w:r w:rsidR="00D64C5A" w:rsidRPr="00D64C5A">
        <w:rPr>
          <w:rFonts w:asciiTheme="majorBidi" w:hAnsiTheme="majorBidi" w:cstheme="majorBidi"/>
        </w:rPr>
        <w:t xml:space="preserve"> </w:t>
      </w:r>
      <w:r w:rsidRPr="00D64C5A">
        <w:rPr>
          <w:rFonts w:asciiTheme="majorBidi" w:hAnsiTheme="majorBidi" w:cstheme="majorBidi"/>
        </w:rPr>
        <w:fldChar w:fldCharType="begin"/>
      </w:r>
      <w:r w:rsidRPr="00D64C5A">
        <w:rPr>
          <w:rFonts w:asciiTheme="majorBidi" w:hAnsiTheme="majorBidi" w:cstheme="majorBidi"/>
        </w:rPr>
        <w:instrText xml:space="preserve"> ADDIN ZOTERO_ITEM CSL_CITATION {"citationID":"6yG51b2W","properties":{"formattedCitation":"Abdul Mustaqim, {\\i{}Dinamika Sejarah Tafsir al-Qur\\uc0\\u8217{}an} (Yogyakarta: Adab Press, 2014).","plainCitation":"Abdul Mustaqim, Dinamika Sejarah Tafsir al-Qur’an (Yogyakarta: Adab Press, 2014).","noteIndex":2},"citationItems":[{"id":355,"uris":["http://zotero.org/users/local/pOTnlTn6/items/KP7IN9E2"],"uri":["http://zotero.org/users/local/pOTnlTn6/items/KP7IN9E2"],"itemData":{"id":355,"type":"book","title":"Dinamika Sejarah Tafsir al-Qur'an","publisher":"Adab Press","publisher-place":"Yogyakarta","event-place":"Yogyakarta","author":[{"family":"Mustaqim","given":"Abdul"}],"issued":{"date-parts":[["2014"]]}}}],"schema":"https://github.com/citation-style-language/schema/raw/master/csl-citation.json"} </w:instrText>
      </w:r>
      <w:r w:rsidRPr="00D64C5A">
        <w:rPr>
          <w:rFonts w:asciiTheme="majorBidi" w:hAnsiTheme="majorBidi" w:cstheme="majorBidi"/>
        </w:rPr>
        <w:fldChar w:fldCharType="separate"/>
      </w:r>
      <w:r w:rsidR="00D64C5A" w:rsidRPr="00D64C5A">
        <w:rPr>
          <w:rFonts w:asciiTheme="majorBidi" w:hAnsiTheme="majorBidi" w:cstheme="majorBidi"/>
          <w:szCs w:val="24"/>
        </w:rPr>
        <w:t xml:space="preserve">Abdul Mustaqim, </w:t>
      </w:r>
      <w:r w:rsidR="00D64C5A" w:rsidRPr="00D64C5A">
        <w:rPr>
          <w:rFonts w:asciiTheme="majorBidi" w:hAnsiTheme="majorBidi" w:cstheme="majorBidi"/>
          <w:i/>
          <w:iCs/>
          <w:szCs w:val="24"/>
        </w:rPr>
        <w:t>Dinamika Sejarah Tafsir Al-Qur’an</w:t>
      </w:r>
      <w:r w:rsidR="00D64C5A" w:rsidRPr="00D64C5A">
        <w:rPr>
          <w:rFonts w:asciiTheme="majorBidi" w:hAnsiTheme="majorBidi" w:cstheme="majorBidi"/>
          <w:szCs w:val="24"/>
        </w:rPr>
        <w:t xml:space="preserve"> (Yogyakarta: Adab Press, 2014)</w:t>
      </w:r>
      <w:r w:rsidRPr="00D64C5A">
        <w:rPr>
          <w:rFonts w:asciiTheme="majorBidi" w:hAnsiTheme="majorBidi" w:cstheme="majorBidi"/>
        </w:rPr>
        <w:fldChar w:fldCharType="end"/>
      </w:r>
      <w:r w:rsidR="00D64C5A">
        <w:rPr>
          <w:rFonts w:asciiTheme="majorBidi" w:hAnsiTheme="majorBidi" w:cstheme="majorBidi"/>
        </w:rPr>
        <w:t>,</w:t>
      </w:r>
      <w:r w:rsidR="00D64C5A" w:rsidRPr="00D64C5A">
        <w:rPr>
          <w:rFonts w:asciiTheme="majorBidi" w:hAnsiTheme="majorBidi" w:cstheme="majorBidi"/>
        </w:rPr>
        <w:t xml:space="preserve"> Hlm. 25</w:t>
      </w:r>
      <w:r w:rsidR="00D64C5A">
        <w:rPr>
          <w:rFonts w:asciiTheme="majorBidi" w:hAnsiTheme="majorBidi" w:cstheme="majorBidi"/>
        </w:rPr>
        <w:t>.</w:t>
      </w:r>
    </w:p>
  </w:footnote>
  <w:footnote w:id="3">
    <w:p w:rsidR="00382B86" w:rsidRPr="00D64C5A" w:rsidRDefault="00382B86" w:rsidP="00D64C5A">
      <w:pPr>
        <w:pStyle w:val="FootnoteText"/>
        <w:ind w:firstLine="567"/>
        <w:jc w:val="both"/>
        <w:rPr>
          <w:rFonts w:asciiTheme="majorBidi" w:hAnsiTheme="majorBidi" w:cstheme="majorBidi"/>
        </w:rPr>
      </w:pPr>
      <w:r w:rsidRPr="00D64C5A">
        <w:rPr>
          <w:rStyle w:val="FootnoteReference"/>
          <w:rFonts w:asciiTheme="majorBidi" w:hAnsiTheme="majorBidi" w:cstheme="majorBidi"/>
        </w:rPr>
        <w:footnoteRef/>
      </w:r>
      <w:r w:rsidR="00D64C5A" w:rsidRPr="00D64C5A">
        <w:rPr>
          <w:rFonts w:asciiTheme="majorBidi" w:hAnsiTheme="majorBidi" w:cstheme="majorBidi"/>
        </w:rPr>
        <w:t xml:space="preserve"> </w:t>
      </w:r>
      <w:r w:rsidRPr="00D64C5A">
        <w:rPr>
          <w:rFonts w:asciiTheme="majorBidi" w:hAnsiTheme="majorBidi" w:cstheme="majorBidi"/>
        </w:rPr>
        <w:fldChar w:fldCharType="begin"/>
      </w:r>
      <w:r w:rsidRPr="00D64C5A">
        <w:rPr>
          <w:rFonts w:asciiTheme="majorBidi" w:hAnsiTheme="majorBidi" w:cstheme="majorBidi"/>
        </w:rPr>
        <w:instrText xml:space="preserve"> ADDIN ZOTERO_ITEM CSL_CITATION {"citationID":"CsiyfdUP","properties":{"formattedCitation":"Alfanul Makky dkk., {\\i{}Kritik Ideologi Radikal} (Kediri: Lirboyo Press, 2018).","plainCitation":"Alfanul Makky dkk., Kritik Ideologi Radikal (Kediri: Lirboyo Press, 2018).","noteIndex":3},"citationItems":[{"id":354,"uris":["http://zotero.org/users/local/pOTnlTn6/items/2U3RYPWQ"],"uri":["http://zotero.org/users/local/pOTnlTn6/items/2U3RYPWQ"],"itemData":{"id":354,"type":"book","title":"Kritik Ideologi Radikal","publisher":"Lirboyo Press","publisher-place":"Kediri","event-place":"Kediri","author":[{"family":"dkk.","given":"Alfanul Makky"}],"issued":{"date-parts":[["2018"]]}}}],"schema":"https://github.com/citation-style-language/schema/raw/master/csl-citation.json"} </w:instrText>
      </w:r>
      <w:r w:rsidRPr="00D64C5A">
        <w:rPr>
          <w:rFonts w:asciiTheme="majorBidi" w:hAnsiTheme="majorBidi" w:cstheme="majorBidi"/>
        </w:rPr>
        <w:fldChar w:fldCharType="separate"/>
      </w:r>
      <w:r w:rsidR="00AB400E">
        <w:rPr>
          <w:rFonts w:asciiTheme="majorBidi" w:hAnsiTheme="majorBidi" w:cstheme="majorBidi"/>
          <w:szCs w:val="24"/>
        </w:rPr>
        <w:t>Alfanul Makky d</w:t>
      </w:r>
      <w:r w:rsidR="00D64C5A" w:rsidRPr="00D64C5A">
        <w:rPr>
          <w:rFonts w:asciiTheme="majorBidi" w:hAnsiTheme="majorBidi" w:cstheme="majorBidi"/>
          <w:szCs w:val="24"/>
        </w:rPr>
        <w:t xml:space="preserve">kk., </w:t>
      </w:r>
      <w:r w:rsidR="00D64C5A" w:rsidRPr="00D64C5A">
        <w:rPr>
          <w:rFonts w:asciiTheme="majorBidi" w:hAnsiTheme="majorBidi" w:cstheme="majorBidi"/>
          <w:i/>
          <w:iCs/>
          <w:szCs w:val="24"/>
        </w:rPr>
        <w:t>Kritik Ideologi Radikal</w:t>
      </w:r>
      <w:r w:rsidR="00D64C5A" w:rsidRPr="00D64C5A">
        <w:rPr>
          <w:rFonts w:asciiTheme="majorBidi" w:hAnsiTheme="majorBidi" w:cstheme="majorBidi"/>
          <w:szCs w:val="24"/>
        </w:rPr>
        <w:t xml:space="preserve"> (Kediri: Lirboyo Press, 2018)</w:t>
      </w:r>
      <w:r w:rsidRPr="00D64C5A">
        <w:rPr>
          <w:rFonts w:asciiTheme="majorBidi" w:hAnsiTheme="majorBidi" w:cstheme="majorBidi"/>
        </w:rPr>
        <w:fldChar w:fldCharType="end"/>
      </w:r>
      <w:r w:rsidR="00D64C5A">
        <w:rPr>
          <w:rFonts w:asciiTheme="majorBidi" w:hAnsiTheme="majorBidi" w:cstheme="majorBidi"/>
        </w:rPr>
        <w:t xml:space="preserve">, </w:t>
      </w:r>
      <w:r w:rsidR="00D64C5A" w:rsidRPr="00D64C5A">
        <w:rPr>
          <w:rFonts w:asciiTheme="majorBidi" w:hAnsiTheme="majorBidi" w:cstheme="majorBidi"/>
        </w:rPr>
        <w:t>Hlm.43</w:t>
      </w:r>
      <w:r w:rsidR="00D64C5A">
        <w:rPr>
          <w:rFonts w:asciiTheme="majorBidi" w:hAnsiTheme="majorBidi" w:cstheme="majorBidi"/>
        </w:rPr>
        <w:t>.</w:t>
      </w:r>
    </w:p>
  </w:footnote>
  <w:footnote w:id="4">
    <w:p w:rsidR="00382B86" w:rsidRDefault="00382B86" w:rsidP="00D64C5A">
      <w:pPr>
        <w:pStyle w:val="FootnoteText"/>
        <w:ind w:firstLine="567"/>
        <w:jc w:val="both"/>
      </w:pPr>
      <w:r w:rsidRPr="00D64C5A">
        <w:rPr>
          <w:rStyle w:val="FootnoteReference"/>
          <w:rFonts w:asciiTheme="majorBidi" w:hAnsiTheme="majorBidi" w:cstheme="majorBidi"/>
        </w:rPr>
        <w:footnoteRef/>
      </w:r>
      <w:r w:rsidR="00D64C5A" w:rsidRPr="00D64C5A">
        <w:rPr>
          <w:rFonts w:asciiTheme="majorBidi" w:hAnsiTheme="majorBidi" w:cstheme="majorBidi"/>
        </w:rPr>
        <w:t xml:space="preserve"> </w:t>
      </w:r>
      <w:r w:rsidRPr="00D64C5A">
        <w:rPr>
          <w:rFonts w:asciiTheme="majorBidi" w:hAnsiTheme="majorBidi" w:cstheme="majorBidi"/>
        </w:rPr>
        <w:fldChar w:fldCharType="begin"/>
      </w:r>
      <w:r w:rsidRPr="00D64C5A">
        <w:rPr>
          <w:rFonts w:asciiTheme="majorBidi" w:hAnsiTheme="majorBidi" w:cstheme="majorBidi"/>
        </w:rPr>
        <w:instrText xml:space="preserve"> ADDIN ZOTERO_ITEM CSL_CITATION {"citationID":"eN47SUWu","properties":{"formattedCitation":"Rusdin Rusdin, \\uc0\\u8220{}INSAN KAMIL DALAM PERSPEKTIF MUHAMMAD IQBAL,\\uc0\\u8221{} {\\i{}Rausyan Fikr: Jurnal Studi Ilmu Ushuluddin Dan Filsafat} 12, no. 2 (2016): 251\\uc0\\u8211{}71, https://doi.org/10.24239/rsy.v12i2.84.","plainCitation":"Rusdin Rusdin, “INSAN KAMIL DALAM PERSPEKTIF MUHAMMAD IQBAL,” Rausyan Fikr: Jurnal Studi Ilmu Ushuluddin Dan Filsafat 12, no. 2 (2016): 251–71, https://doi.org/10.24239/rsy.v12i2.84.","noteIndex":4},"citationItems":[{"id":399,"uris":["http://zotero.org/users/local/pOTnlTn6/items/9H7JZIHS"],"uri":["http://zotero.org/users/local/pOTnlTn6/items/9H7JZIHS"],"itemData":{"id":399,"type":"article-journal","title":"INSAN KAMIL DALAM PERSPEKTIF MUHAMMAD IQBAL","container-title":"Rausyan Fikr: Jurnal Studi Ilmu Ushuluddin dan Filsafat","page":"251-271","volume":"12","issue":"2","source":"jurnal.iainpalu.ac.id","DOI":"10.24239/rsy.v12i2.84","ISSN":"2580-7773","journalAbbreviation":"1","language":"en","author":[{"family":"Rusdin","given":"Rusdin"}],"issued":{"date-parts":[["2016"]]}}}],"schema":"https://github.com/citation-style-language/schema/raw/master/csl-citation.json"} </w:instrText>
      </w:r>
      <w:r w:rsidRPr="00D64C5A">
        <w:rPr>
          <w:rFonts w:asciiTheme="majorBidi" w:hAnsiTheme="majorBidi" w:cstheme="majorBidi"/>
        </w:rPr>
        <w:fldChar w:fldCharType="separate"/>
      </w:r>
      <w:r w:rsidR="00D64C5A" w:rsidRPr="00D64C5A">
        <w:rPr>
          <w:rFonts w:asciiTheme="majorBidi" w:hAnsiTheme="majorBidi" w:cstheme="majorBidi"/>
          <w:szCs w:val="24"/>
        </w:rPr>
        <w:t xml:space="preserve">Rusdin Rusdin, “Insan Kamil Dalam Perspektif Muhammad Iqbal,” </w:t>
      </w:r>
      <w:r w:rsidR="00D64C5A" w:rsidRPr="00D64C5A">
        <w:rPr>
          <w:rFonts w:asciiTheme="majorBidi" w:hAnsiTheme="majorBidi" w:cstheme="majorBidi"/>
          <w:i/>
          <w:iCs/>
          <w:szCs w:val="24"/>
        </w:rPr>
        <w:t>Rausyan Fikr: Jurnal Studi Ilmu Ushuluddin Dan Filsafat</w:t>
      </w:r>
      <w:r w:rsidR="00D64C5A">
        <w:rPr>
          <w:rFonts w:asciiTheme="majorBidi" w:hAnsiTheme="majorBidi" w:cstheme="majorBidi"/>
          <w:szCs w:val="24"/>
        </w:rPr>
        <w:t xml:space="preserve"> 12, No. 2 (2016): 251–71</w:t>
      </w:r>
      <w:r w:rsidR="00D64C5A" w:rsidRPr="00D64C5A">
        <w:rPr>
          <w:rFonts w:asciiTheme="majorBidi" w:hAnsiTheme="majorBidi" w:cstheme="majorBidi"/>
          <w:szCs w:val="24"/>
        </w:rPr>
        <w:t>.</w:t>
      </w:r>
      <w:r w:rsidRPr="00D64C5A">
        <w:rPr>
          <w:rFonts w:asciiTheme="majorBidi" w:hAnsiTheme="majorBidi" w:cstheme="majorBidi"/>
        </w:rPr>
        <w:fldChar w:fldCharType="end"/>
      </w:r>
    </w:p>
  </w:footnote>
  <w:footnote w:id="5">
    <w:p w:rsidR="00382B86" w:rsidRPr="00D64C5A" w:rsidRDefault="00382B86" w:rsidP="00D64C5A">
      <w:pPr>
        <w:pStyle w:val="FootnoteText"/>
        <w:ind w:firstLine="567"/>
        <w:jc w:val="both"/>
        <w:rPr>
          <w:rFonts w:asciiTheme="majorBidi" w:hAnsiTheme="majorBidi" w:cstheme="majorBidi"/>
        </w:rPr>
      </w:pPr>
      <w:r w:rsidRPr="00D64C5A">
        <w:rPr>
          <w:rStyle w:val="FootnoteReference"/>
          <w:rFonts w:asciiTheme="majorBidi" w:hAnsiTheme="majorBidi" w:cstheme="majorBidi"/>
        </w:rPr>
        <w:footnoteRef/>
      </w:r>
      <w:r w:rsidR="00D64C5A" w:rsidRPr="00D64C5A">
        <w:rPr>
          <w:rFonts w:asciiTheme="majorBidi" w:hAnsiTheme="majorBidi" w:cstheme="majorBidi"/>
        </w:rPr>
        <w:t xml:space="preserve"> </w:t>
      </w:r>
      <w:r w:rsidRPr="00D64C5A">
        <w:rPr>
          <w:rFonts w:asciiTheme="majorBidi" w:hAnsiTheme="majorBidi" w:cstheme="majorBidi"/>
        </w:rPr>
        <w:fldChar w:fldCharType="begin"/>
      </w:r>
      <w:r w:rsidRPr="00D64C5A">
        <w:rPr>
          <w:rFonts w:asciiTheme="majorBidi" w:hAnsiTheme="majorBidi" w:cstheme="majorBidi"/>
        </w:rPr>
        <w:instrText xml:space="preserve"> ADDIN ZOTERO_ITEM CSL_CITATION {"citationID":"vgd3oNg4","properties":{"formattedCitation":"Mustaqim, {\\i{}Dinamika Sejarah Tafsir al-Qur\\uc0\\u8217{}an}.","plainCitation":"Mustaqim, Dinamika Sejarah Tafsir al-Qur’an.","noteIndex":5},"citationItems":[{"id":355,"uris":["http://zotero.org/users/local/pOTnlTn6/items/KP7IN9E2"],"uri":["http://zotero.org/users/local/pOTnlTn6/items/KP7IN9E2"],"itemData":{"id":355,"type":"book","title":"Dinamika Sejarah Tafsir al-Qur'an","publisher":"Adab Press","publisher-place":"Yogyakarta","event-place":"Yogyakarta","author":[{"family":"Mustaqim","given":"Abdul"}],"issued":{"date-parts":[["2014"]]}}}],"schema":"https://github.com/citation-style-language/schema/raw/master/csl-citation.json"} </w:instrText>
      </w:r>
      <w:r w:rsidRPr="00D64C5A">
        <w:rPr>
          <w:rFonts w:asciiTheme="majorBidi" w:hAnsiTheme="majorBidi" w:cstheme="majorBidi"/>
        </w:rPr>
        <w:fldChar w:fldCharType="separate"/>
      </w:r>
      <w:r w:rsidR="00D64C5A" w:rsidRPr="00D64C5A">
        <w:rPr>
          <w:rFonts w:asciiTheme="majorBidi" w:hAnsiTheme="majorBidi" w:cstheme="majorBidi"/>
          <w:szCs w:val="24"/>
        </w:rPr>
        <w:t xml:space="preserve">Mustaqim, </w:t>
      </w:r>
      <w:r w:rsidR="00D64C5A" w:rsidRPr="00D64C5A">
        <w:rPr>
          <w:rFonts w:asciiTheme="majorBidi" w:hAnsiTheme="majorBidi" w:cstheme="majorBidi"/>
          <w:i/>
          <w:iCs/>
          <w:szCs w:val="24"/>
        </w:rPr>
        <w:t>Dinamika Sejarah Tafsir Al-Qur’an</w:t>
      </w:r>
      <w:r w:rsidRPr="00D64C5A">
        <w:rPr>
          <w:rFonts w:asciiTheme="majorBidi" w:hAnsiTheme="majorBidi" w:cstheme="majorBidi"/>
        </w:rPr>
        <w:fldChar w:fldCharType="end"/>
      </w:r>
      <w:r w:rsidR="00D64C5A" w:rsidRPr="00D64C5A">
        <w:rPr>
          <w:rFonts w:asciiTheme="majorBidi" w:hAnsiTheme="majorBidi" w:cstheme="majorBidi"/>
        </w:rPr>
        <w:t>, Hlm. 75.</w:t>
      </w:r>
    </w:p>
  </w:footnote>
  <w:footnote w:id="6">
    <w:p w:rsidR="00382B86" w:rsidRPr="00D64C5A" w:rsidRDefault="00382B86" w:rsidP="00D64C5A">
      <w:pPr>
        <w:pStyle w:val="FootnoteText"/>
        <w:ind w:firstLine="567"/>
        <w:jc w:val="both"/>
        <w:rPr>
          <w:rFonts w:asciiTheme="majorBidi" w:hAnsiTheme="majorBidi" w:cstheme="majorBidi"/>
        </w:rPr>
      </w:pPr>
      <w:r w:rsidRPr="00D64C5A">
        <w:rPr>
          <w:rStyle w:val="FootnoteReference"/>
          <w:rFonts w:asciiTheme="majorBidi" w:hAnsiTheme="majorBidi" w:cstheme="majorBidi"/>
        </w:rPr>
        <w:footnoteRef/>
      </w:r>
      <w:r w:rsidR="00D64C5A" w:rsidRPr="00D64C5A">
        <w:rPr>
          <w:rFonts w:asciiTheme="majorBidi" w:hAnsiTheme="majorBidi" w:cstheme="majorBidi"/>
        </w:rPr>
        <w:t xml:space="preserve"> </w:t>
      </w:r>
      <w:r w:rsidRPr="00D64C5A">
        <w:rPr>
          <w:rFonts w:asciiTheme="majorBidi" w:hAnsiTheme="majorBidi" w:cstheme="majorBidi"/>
        </w:rPr>
        <w:fldChar w:fldCharType="begin"/>
      </w:r>
      <w:r w:rsidRPr="00D64C5A">
        <w:rPr>
          <w:rFonts w:asciiTheme="majorBidi" w:hAnsiTheme="majorBidi" w:cstheme="majorBidi"/>
        </w:rPr>
        <w:instrText xml:space="preserve"> ADDIN ZOTERO_ITEM CSL_CITATION {"citationID":"Jq4lpEoR","properties":{"formattedCitation":"Abdul Karim, {\\i{}Sejarah Pemikiran dan Peradaban Islam} (Yogyakarta: Pustaka Book, 2007).","plainCitation":"Abdul Karim, Sejarah Pemikiran dan Peradaban Islam (Yogyakarta: Pustaka Book, 2007).","dontUpdate":true,"noteIndex":6},"citationItems":[{"id":383,"uris":["http://zotero.org/users/local/pOTnlTn6/items/86JVEEGK"],"uri":["http://zotero.org/users/local/pOTnlTn6/items/86JVEEGK"],"itemData":{"id":383,"type":"book","title":"Sejarah Pemikiran dan Peradaban Islam","publisher":"Pustaka Book","publisher-place":"Yogyakarta","event-place":"Yogyakarta","author":[{"family":"Karim","given":"Abdul"}],"issued":{"date-parts":[["2007",11,1]]}}}],"schema":"https://github.com/citation-style-language/schema/raw/master/csl-citation.json"} </w:instrText>
      </w:r>
      <w:r w:rsidRPr="00D64C5A">
        <w:rPr>
          <w:rFonts w:asciiTheme="majorBidi" w:hAnsiTheme="majorBidi" w:cstheme="majorBidi"/>
        </w:rPr>
        <w:fldChar w:fldCharType="separate"/>
      </w:r>
      <w:r w:rsidR="00D64C5A" w:rsidRPr="00D64C5A">
        <w:rPr>
          <w:rFonts w:asciiTheme="majorBidi" w:hAnsiTheme="majorBidi" w:cstheme="majorBidi"/>
          <w:szCs w:val="24"/>
        </w:rPr>
        <w:t xml:space="preserve">Abdul Karim, </w:t>
      </w:r>
      <w:r w:rsidR="00D64C5A" w:rsidRPr="00D64C5A">
        <w:rPr>
          <w:rFonts w:asciiTheme="majorBidi" w:hAnsiTheme="majorBidi" w:cstheme="majorBidi"/>
          <w:i/>
          <w:iCs/>
          <w:szCs w:val="24"/>
        </w:rPr>
        <w:t>Sejarah Pemikiran Dan Peradaban Islam</w:t>
      </w:r>
      <w:r w:rsidR="00D64C5A" w:rsidRPr="00D64C5A">
        <w:rPr>
          <w:rFonts w:asciiTheme="majorBidi" w:hAnsiTheme="majorBidi" w:cstheme="majorBidi"/>
          <w:szCs w:val="24"/>
        </w:rPr>
        <w:t xml:space="preserve"> (Yogyakarta: Pustaka Book, 2007)</w:t>
      </w:r>
      <w:r w:rsidRPr="00D64C5A">
        <w:rPr>
          <w:rFonts w:asciiTheme="majorBidi" w:hAnsiTheme="majorBidi" w:cstheme="majorBidi"/>
        </w:rPr>
        <w:fldChar w:fldCharType="end"/>
      </w:r>
      <w:r w:rsidR="00D64C5A" w:rsidRPr="00D64C5A">
        <w:rPr>
          <w:rFonts w:asciiTheme="majorBidi" w:hAnsiTheme="majorBidi" w:cstheme="majorBidi"/>
        </w:rPr>
        <w:t>,Hlm. 109.</w:t>
      </w:r>
    </w:p>
  </w:footnote>
  <w:footnote w:id="7">
    <w:p w:rsidR="00382B86" w:rsidRDefault="00382B86" w:rsidP="00D64C5A">
      <w:pPr>
        <w:pStyle w:val="FootnoteText"/>
        <w:ind w:firstLine="567"/>
        <w:jc w:val="both"/>
      </w:pPr>
      <w:r w:rsidRPr="00D64C5A">
        <w:rPr>
          <w:rStyle w:val="FootnoteReference"/>
          <w:rFonts w:asciiTheme="majorBidi" w:hAnsiTheme="majorBidi" w:cstheme="majorBidi"/>
        </w:rPr>
        <w:footnoteRef/>
      </w:r>
      <w:r w:rsidR="00D64C5A" w:rsidRPr="00D64C5A">
        <w:rPr>
          <w:rFonts w:asciiTheme="majorBidi" w:hAnsiTheme="majorBidi" w:cstheme="majorBidi"/>
        </w:rPr>
        <w:t xml:space="preserve"> </w:t>
      </w:r>
      <w:r>
        <w:rPr>
          <w:rFonts w:asciiTheme="majorBidi" w:hAnsiTheme="majorBidi" w:cstheme="majorBidi"/>
        </w:rPr>
        <w:fldChar w:fldCharType="begin"/>
      </w:r>
      <w:r w:rsidRPr="00D64C5A">
        <w:rPr>
          <w:rFonts w:asciiTheme="majorBidi" w:hAnsiTheme="majorBidi" w:cstheme="majorBidi"/>
        </w:rPr>
        <w:instrText xml:space="preserve"> ADDIN ZOTERO_ITEM CSL_CITATION {"citationID":"LVy8JE5r","properties":{"formattedCitation":"Mustofa Mustofa, \\uc0\\u8220{}KITAB KUNING SEBAGAI LITERATUR KEISLAMAN DALAM KONTEKS PERPUSTAKAAN PESANTREN,\\uc0\\u8221{} {\\i{}Tibanndaru\\uc0\\u8239{}: Jurnal Ilmu Perpustakaan dan Informasi} 2, no. 2 (31 Januari 2019): 1\\uc0\\u8211{}14, https://doi.org/10.30742/tb.v2i2.549.","plainCitation":"Mustofa Mustofa, “KITAB KUNING SEBAGAI LITERATUR KEISLAMAN DALAM KONTEKS PERPUSTAKAAN PESANTREN,” Tibanndaru : Jurnal Ilmu Perpustakaan dan Informasi 2, no. 2 (31 Januari 2019): 1–14, https://doi.org/10.30742/tb.v2i2.549.","noteIndex":7},"citationItems":[{"id":364,"uris":["http://zotero.org/users/local/pOTnlTn6/items/Q94T4K5Z"],"uri":["http://zotero.org/users/local/pOTnlTn6/items/Q94T4K5Z"],"itemData":{"id":364,"type":"article-journal","title":"KITAB KUNING SEBAGAI LITERATUR KEISLAMAN DALAM KONTEKS PERPUSTAKAAN PESANTREN","container-title":"Tibanndaru : Jurnal Ilmu Perpustakaan dan Informasi","page":"1-14","volume":"2","issue":"2","source":"journal.uwks.ac.id","abstract":"Kitab Kuning Sebagai Literatur Keislaman Dalam Konteks Pesantren. Metode yang digunakan dalam penulisan artikel ini adalah studi literatur. Kitab kuning menjadi salah satu sistem nilai dalam kehidupan pesantren. Karena itu, pembelajaran dan pengkajian kitab kuning  menjadi nomor satu dan merupakan ciri khas pondok pesantren. Kitab kuning menjadi sesuatu yang substansial sebagai rujukan. Kitab Kuning merupakan literatur keislaman di lembaga pendidikan Islam khususnya pesantren. Metode yang digunakan dalam pengajaran Kitab Kuning yaitu dengan sorogan dan bandongan. Kritik terhadap kitab kuning perlu dilakukan agar pemahaman terhadap konteks kekinian atau kesesuiain masalah terhadap zamannya bisa diterapkan.Kata Kunci : Kitab Kuning; Literatur Keislaman; Pesantren","DOI":"10.30742/tb.v2i2.549","ISSN":"2656-1999","language":"id","author":[{"family":"Mustofa","given":"Mustofa"}],"issued":{"date-parts":[["2019",1,31]]}}}],"schema":"https://github.com/citation-style-language/schema/raw/master/csl-citation.json"} </w:instrText>
      </w:r>
      <w:r>
        <w:rPr>
          <w:rFonts w:asciiTheme="majorBidi" w:hAnsiTheme="majorBidi" w:cstheme="majorBidi"/>
        </w:rPr>
        <w:fldChar w:fldCharType="separate"/>
      </w:r>
      <w:r w:rsidR="00D64C5A" w:rsidRPr="00D64C5A">
        <w:rPr>
          <w:rFonts w:asciiTheme="majorBidi" w:hAnsiTheme="majorBidi" w:cstheme="majorBidi"/>
          <w:szCs w:val="24"/>
        </w:rPr>
        <w:t xml:space="preserve">Mustofa Mustofa, “Kitab Kuning Sebagai Literatur Keislaman Dalam Konteks Perpustakaan Pesantren,” </w:t>
      </w:r>
      <w:r w:rsidR="00D64C5A" w:rsidRPr="00D64C5A">
        <w:rPr>
          <w:rFonts w:asciiTheme="majorBidi" w:hAnsiTheme="majorBidi" w:cstheme="majorBidi"/>
          <w:i/>
          <w:iCs/>
          <w:szCs w:val="24"/>
        </w:rPr>
        <w:t>Tibanndaru : Jurnal Ilmu Perpustakaan Dan Informasi</w:t>
      </w:r>
      <w:r w:rsidR="00D64C5A" w:rsidRPr="00D64C5A">
        <w:rPr>
          <w:rFonts w:asciiTheme="majorBidi" w:hAnsiTheme="majorBidi" w:cstheme="majorBidi"/>
          <w:szCs w:val="24"/>
        </w:rPr>
        <w:t xml:space="preserve"> 2, No. 2 (31 Januari 2019): 1–14.</w:t>
      </w:r>
      <w:r w:rsidR="00D64C5A" w:rsidRPr="001C4CD7">
        <w:rPr>
          <w:rFonts w:ascii="Calibri" w:hAnsi="Calibri" w:cs="Calibri"/>
          <w:szCs w:val="24"/>
        </w:rPr>
        <w:t xml:space="preserve"> </w:t>
      </w:r>
      <w:r>
        <w:fldChar w:fldCharType="end"/>
      </w:r>
    </w:p>
  </w:footnote>
  <w:footnote w:id="8">
    <w:p w:rsidR="00382B86" w:rsidRPr="00D64C5A" w:rsidRDefault="00382B86" w:rsidP="00D64C5A">
      <w:pPr>
        <w:pStyle w:val="FootnoteText"/>
        <w:ind w:firstLine="567"/>
        <w:jc w:val="both"/>
        <w:rPr>
          <w:rFonts w:asciiTheme="majorBidi" w:hAnsiTheme="majorBidi" w:cstheme="majorBidi"/>
        </w:rPr>
      </w:pPr>
      <w:r w:rsidRPr="00D64C5A">
        <w:rPr>
          <w:rStyle w:val="FootnoteReference"/>
          <w:rFonts w:asciiTheme="majorBidi" w:hAnsiTheme="majorBidi" w:cstheme="majorBidi"/>
        </w:rPr>
        <w:footnoteRef/>
      </w:r>
      <w:r w:rsidRPr="00D64C5A">
        <w:rPr>
          <w:rFonts w:asciiTheme="majorBidi" w:hAnsiTheme="majorBidi" w:cstheme="majorBidi"/>
        </w:rPr>
        <w:t xml:space="preserve"> </w:t>
      </w:r>
      <w:r w:rsidRPr="00D64C5A">
        <w:rPr>
          <w:rFonts w:asciiTheme="majorBidi" w:hAnsiTheme="majorBidi" w:cstheme="majorBidi"/>
        </w:rPr>
        <w:fldChar w:fldCharType="begin"/>
      </w:r>
      <w:r w:rsidRPr="00D64C5A">
        <w:rPr>
          <w:rFonts w:asciiTheme="majorBidi" w:hAnsiTheme="majorBidi" w:cstheme="majorBidi"/>
        </w:rPr>
        <w:instrText xml:space="preserve"> ADDIN ZOTERO_ITEM CSL_CITATION {"citationID":"fhgZg1UW","properties":{"formattedCitation":"Martin Van Bruinessen, {\\i{}Kitab Kuning, Pesantren, dan Tarekat} (Yogyakarta: Gading Publishing, 2015).","plainCitation":"Martin Van Bruinessen, Kitab Kuning, Pesantren, dan Tarekat (Yogyakarta: Gading Publishing, 2015).","dontUpdate":true,"noteIndex":8},"citationItems":[{"id":352,"uris":["http://zotero.org/users/local/pOTnlTn6/items/4CGEVJLG"],"uri":["http://zotero.org/users/local/pOTnlTn6/items/4CGEVJLG"],"itemData":{"id":352,"type":"book","title":"Kitab Kuning, Pesantren, dan Tarekat","publisher":"Gading Publishing","publisher-place":"Yogyakarta","event-place":"Yogyakarta","author":[{"family":"Bruinessen","given":"Martin Van"}],"issued":{"date-parts":[["2015"]]}}}],"schema":"https://github.com/citation-style-language/schema/raw/master/csl-citation.json"} </w:instrText>
      </w:r>
      <w:r w:rsidRPr="00D64C5A">
        <w:rPr>
          <w:rFonts w:asciiTheme="majorBidi" w:hAnsiTheme="majorBidi" w:cstheme="majorBidi"/>
        </w:rPr>
        <w:fldChar w:fldCharType="separate"/>
      </w:r>
      <w:r w:rsidR="00D64C5A" w:rsidRPr="00D64C5A">
        <w:rPr>
          <w:rFonts w:asciiTheme="majorBidi" w:hAnsiTheme="majorBidi" w:cstheme="majorBidi"/>
          <w:szCs w:val="24"/>
        </w:rPr>
        <w:t xml:space="preserve">Martin Van Bruinessen, </w:t>
      </w:r>
      <w:r w:rsidR="00D64C5A" w:rsidRPr="00D64C5A">
        <w:rPr>
          <w:rFonts w:asciiTheme="majorBidi" w:hAnsiTheme="majorBidi" w:cstheme="majorBidi"/>
          <w:i/>
          <w:iCs/>
          <w:szCs w:val="24"/>
        </w:rPr>
        <w:t>Kitab Kuning, Pesantren, Dan Tarekat</w:t>
      </w:r>
      <w:r w:rsidR="00D64C5A" w:rsidRPr="00D64C5A">
        <w:rPr>
          <w:rFonts w:asciiTheme="majorBidi" w:hAnsiTheme="majorBidi" w:cstheme="majorBidi"/>
          <w:szCs w:val="24"/>
        </w:rPr>
        <w:t xml:space="preserve"> (Yogyakarta: Gading Publishing, 2015)</w:t>
      </w:r>
      <w:r w:rsidRPr="00D64C5A">
        <w:rPr>
          <w:rFonts w:asciiTheme="majorBidi" w:hAnsiTheme="majorBidi" w:cstheme="majorBidi"/>
        </w:rPr>
        <w:fldChar w:fldCharType="end"/>
      </w:r>
      <w:r w:rsidR="00D64C5A" w:rsidRPr="00D64C5A">
        <w:rPr>
          <w:rFonts w:asciiTheme="majorBidi" w:hAnsiTheme="majorBidi" w:cstheme="majorBidi"/>
        </w:rPr>
        <w:t>, Hlm. 67.</w:t>
      </w:r>
    </w:p>
  </w:footnote>
  <w:footnote w:id="9">
    <w:p w:rsidR="00382B86" w:rsidRPr="00D64C5A" w:rsidRDefault="00382B86" w:rsidP="00D64C5A">
      <w:pPr>
        <w:pStyle w:val="FootnoteText"/>
        <w:ind w:firstLine="567"/>
        <w:jc w:val="both"/>
        <w:rPr>
          <w:rFonts w:asciiTheme="majorBidi" w:hAnsiTheme="majorBidi" w:cstheme="majorBidi"/>
        </w:rPr>
      </w:pPr>
      <w:r w:rsidRPr="00D64C5A">
        <w:rPr>
          <w:rStyle w:val="FootnoteReference"/>
          <w:rFonts w:asciiTheme="majorBidi" w:hAnsiTheme="majorBidi" w:cstheme="majorBidi"/>
        </w:rPr>
        <w:footnoteRef/>
      </w:r>
      <w:r w:rsidR="00D64C5A" w:rsidRPr="00D64C5A">
        <w:rPr>
          <w:rFonts w:asciiTheme="majorBidi" w:hAnsiTheme="majorBidi" w:cstheme="majorBidi"/>
        </w:rPr>
        <w:t xml:space="preserve"> </w:t>
      </w:r>
      <w:r w:rsidRPr="00D64C5A">
        <w:rPr>
          <w:rFonts w:asciiTheme="majorBidi" w:hAnsiTheme="majorBidi" w:cstheme="majorBidi"/>
        </w:rPr>
        <w:fldChar w:fldCharType="begin"/>
      </w:r>
      <w:r w:rsidRPr="00D64C5A">
        <w:rPr>
          <w:rFonts w:asciiTheme="majorBidi" w:hAnsiTheme="majorBidi" w:cstheme="majorBidi"/>
        </w:rPr>
        <w:instrText xml:space="preserve"> ADDIN ZOTERO_ITEM CSL_CITATION {"citationID":"nbgMB6tM","properties":{"formattedCitation":"Islah Gusmian, {\\i{}Khazanah Tafsir Indonesia dari Hermeneutika Hingga Ideologi} (Teraju: Jakarta, 2013).","plainCitation":"Islah Gusmian, Khazanah Tafsir Indonesia dari Hermeneutika Hingga Ideologi (Teraju: Jakarta, 2013).","dontUpdate":true,"noteIndex":9},"citationItems":[{"id":371,"uris":["http://zotero.org/users/local/pOTnlTn6/items/E2MZVXBR"],"uri":["http://zotero.org/users/local/pOTnlTn6/items/E2MZVXBR"],"itemData":{"id":371,"type":"book","title":"Khazanah Tafsir Indonesia dari Hermeneutika Hingga Ideologi","publisher":"Jakarta","publisher-place":"Teraju","event-place":"Teraju","author":[{"family":"Gusmian","given":"Islah"}],"issued":{"date-parts":[["2013"]]}}}],"schema":"https://github.com/citation-style-language/schema/raw/master/csl-citation.json"} </w:instrText>
      </w:r>
      <w:r w:rsidRPr="00D64C5A">
        <w:rPr>
          <w:rFonts w:asciiTheme="majorBidi" w:hAnsiTheme="majorBidi" w:cstheme="majorBidi"/>
        </w:rPr>
        <w:fldChar w:fldCharType="separate"/>
      </w:r>
      <w:r w:rsidR="00D64C5A" w:rsidRPr="00D64C5A">
        <w:rPr>
          <w:rFonts w:asciiTheme="majorBidi" w:hAnsiTheme="majorBidi" w:cstheme="majorBidi"/>
          <w:szCs w:val="24"/>
        </w:rPr>
        <w:t xml:space="preserve">Islah Gusmian, </w:t>
      </w:r>
      <w:r w:rsidR="00D64C5A" w:rsidRPr="00D64C5A">
        <w:rPr>
          <w:rFonts w:asciiTheme="majorBidi" w:hAnsiTheme="majorBidi" w:cstheme="majorBidi"/>
          <w:i/>
          <w:iCs/>
          <w:szCs w:val="24"/>
        </w:rPr>
        <w:t>Khazanah Tafsir Indonesia Dari Hermeneutika Hingga Ideologi</w:t>
      </w:r>
      <w:r w:rsidR="00D64C5A" w:rsidRPr="00D64C5A">
        <w:rPr>
          <w:rFonts w:asciiTheme="majorBidi" w:hAnsiTheme="majorBidi" w:cstheme="majorBidi"/>
          <w:szCs w:val="24"/>
        </w:rPr>
        <w:t xml:space="preserve"> (Teraju: Jakarta, 2013)</w:t>
      </w:r>
      <w:r w:rsidRPr="00D64C5A">
        <w:rPr>
          <w:rFonts w:asciiTheme="majorBidi" w:hAnsiTheme="majorBidi" w:cstheme="majorBidi"/>
        </w:rPr>
        <w:fldChar w:fldCharType="end"/>
      </w:r>
      <w:r w:rsidR="00D64C5A" w:rsidRPr="00D64C5A">
        <w:rPr>
          <w:rFonts w:asciiTheme="majorBidi" w:hAnsiTheme="majorBidi" w:cstheme="majorBidi"/>
        </w:rPr>
        <w:t>, Hlm.  98.</w:t>
      </w:r>
    </w:p>
  </w:footnote>
  <w:footnote w:id="10">
    <w:p w:rsidR="00382B86" w:rsidRPr="00D64C5A" w:rsidRDefault="00382B86" w:rsidP="00D64C5A">
      <w:pPr>
        <w:pStyle w:val="FootnoteText"/>
        <w:ind w:firstLine="567"/>
        <w:jc w:val="both"/>
        <w:rPr>
          <w:rFonts w:asciiTheme="majorBidi" w:hAnsiTheme="majorBidi" w:cstheme="majorBidi"/>
        </w:rPr>
      </w:pPr>
      <w:r w:rsidRPr="00D64C5A">
        <w:rPr>
          <w:rStyle w:val="FootnoteReference"/>
          <w:rFonts w:asciiTheme="majorBidi" w:hAnsiTheme="majorBidi" w:cstheme="majorBidi"/>
        </w:rPr>
        <w:footnoteRef/>
      </w:r>
      <w:r w:rsidR="00D64C5A" w:rsidRPr="00D64C5A">
        <w:rPr>
          <w:rFonts w:asciiTheme="majorBidi" w:hAnsiTheme="majorBidi" w:cstheme="majorBidi"/>
        </w:rPr>
        <w:t xml:space="preserve"> </w:t>
      </w:r>
      <w:r w:rsidRPr="00D64C5A">
        <w:rPr>
          <w:rFonts w:asciiTheme="majorBidi" w:hAnsiTheme="majorBidi" w:cstheme="majorBidi"/>
        </w:rPr>
        <w:fldChar w:fldCharType="begin"/>
      </w:r>
      <w:r w:rsidRPr="00D64C5A">
        <w:rPr>
          <w:rFonts w:asciiTheme="majorBidi" w:hAnsiTheme="majorBidi" w:cstheme="majorBidi"/>
        </w:rPr>
        <w:instrText xml:space="preserve"> ADDIN ZOTERO_ITEM CSL_CITATION {"citationID":"VR1XunQ1","properties":{"formattedCitation":"M. Nurdin Zuhdi, \\uc0\\u8220{}HERMENEUTIKA AL-QUR\\uc0\\u8217{}AN: Tipologi Tafsir Sebagai Solusi dalam Memecahkan Isu-Isu Budaya Lokal Keindonesiaan,\\uc0\\u8221{} {\\i{}ESENSIA: Jurnal Ilmu-Ilmu Ushuluddin} 13, no. 2 (22 Juli 2012): 241, https://doi.org/10.14421/esensia.v13i2.740.","plainCitation":"M. Nurdin Zuhdi, “HERMENEUTIKA AL-QUR’AN: Tipologi Tafsir Sebagai Solusi dalam Memecahkan Isu-Isu Budaya Lokal Keindonesiaan,” ESENSIA: Jurnal Ilmu-Ilmu Ushuluddin 13, no. 2 (22 Juli 2012): 241, https://doi.org/10.14421/esensia.v13i2.740.","noteIndex":10},"citationItems":[{"id":392,"uris":["http://zotero.org/users/local/pOTnlTn6/items/QWPDAYLY"],"uri":["http://zotero.org/users/local/pOTnlTn6/items/QWPDAYLY"],"itemData":{"id":392,"type":"article-journal","title":"HERMENEUTIKA AL-QUR’AN: Tipologi Tafsir Sebagai Solusi dalam Memecahkan Isu-Isu Budaya Lokal Keindonesiaan","container-title":"ESENSIA: Jurnal Ilmu-Ilmu Ushuluddin","page":"241","volume":"13","issue":"2","source":"DOI.org (Crossref)","abstract":"Religion should be a source of inspiration for the completion of any  problems that exist in society. Religion has a very important part in the resolution of current issues that developed in the middle of the race. Here, the Qur'an and the Sunnah as the primary sources of Islam should be a solution to the existing problem. So, how is that al-Qur'an and Sunnah can be a solution for Muslims in facing the current issues? Al-Qur'an and Sunnah should be understood in its context returned in the current era. Interpretationmethodology should also experiencing growth. In addition to using the existing methodology konvensional, Indonesia exegetes should be dare to involves contemporary methodologies such as hermeneutics and set humanities others. With the new methodology and adequate regardless of existing methodologies while remaining grounded in the original text, expected actual issues that develop can be resolved.","DOI":"10.14421/esensia.v13i2.740","ISSN":"2548-4729, 1411-3775","title-short":"HERMENEUTIKA AL-QUR’AN","journalAbbreviation":"J ESENSIA","language":"id","author":[{"family":"Zuhdi","given":"M. Nurdin"}],"issued":{"date-parts":[["2012",7,22]]}}}],"schema":"https://github.com/citation-style-language/schema/raw/master/csl-citation.json"} </w:instrText>
      </w:r>
      <w:r w:rsidRPr="00D64C5A">
        <w:rPr>
          <w:rFonts w:asciiTheme="majorBidi" w:hAnsiTheme="majorBidi" w:cstheme="majorBidi"/>
        </w:rPr>
        <w:fldChar w:fldCharType="separate"/>
      </w:r>
      <w:r w:rsidR="00D64C5A" w:rsidRPr="00D64C5A">
        <w:rPr>
          <w:rFonts w:asciiTheme="majorBidi" w:hAnsiTheme="majorBidi" w:cstheme="majorBidi"/>
          <w:szCs w:val="24"/>
        </w:rPr>
        <w:t xml:space="preserve">M. Nurdin Zuhdi, “Hermeneutika Al-Qur’an: Tipologi Tafsir Sebagai Solusi Dalam Memecahkan Isu-Isu Budaya Lokal Keindonesiaan,” </w:t>
      </w:r>
      <w:r w:rsidR="00D64C5A" w:rsidRPr="00D64C5A">
        <w:rPr>
          <w:rFonts w:asciiTheme="majorBidi" w:hAnsiTheme="majorBidi" w:cstheme="majorBidi"/>
          <w:i/>
          <w:iCs/>
          <w:szCs w:val="24"/>
        </w:rPr>
        <w:t>Esensia: Jurnal Ilmu-Ilmu Ushuluddin</w:t>
      </w:r>
      <w:r w:rsidR="00D64C5A" w:rsidRPr="00D64C5A">
        <w:rPr>
          <w:rFonts w:asciiTheme="majorBidi" w:hAnsiTheme="majorBidi" w:cstheme="majorBidi"/>
          <w:szCs w:val="24"/>
        </w:rPr>
        <w:t xml:space="preserve"> 13, No. 2 (22 Juli 2012): 241.</w:t>
      </w:r>
      <w:r w:rsidRPr="00D64C5A">
        <w:rPr>
          <w:rFonts w:asciiTheme="majorBidi" w:hAnsiTheme="majorBidi" w:cstheme="majorBidi"/>
        </w:rPr>
        <w:fldChar w:fldCharType="end"/>
      </w:r>
    </w:p>
  </w:footnote>
  <w:footnote w:id="11">
    <w:p w:rsidR="00382B86" w:rsidRPr="00D64C5A" w:rsidRDefault="00382B86" w:rsidP="00D64C5A">
      <w:pPr>
        <w:pStyle w:val="FootnoteText"/>
        <w:ind w:firstLine="567"/>
        <w:jc w:val="both"/>
        <w:rPr>
          <w:rFonts w:asciiTheme="majorBidi" w:hAnsiTheme="majorBidi" w:cstheme="majorBidi"/>
        </w:rPr>
      </w:pPr>
      <w:r w:rsidRPr="00D64C5A">
        <w:rPr>
          <w:rStyle w:val="FootnoteReference"/>
          <w:rFonts w:asciiTheme="majorBidi" w:hAnsiTheme="majorBidi" w:cstheme="majorBidi"/>
        </w:rPr>
        <w:footnoteRef/>
      </w:r>
      <w:r w:rsidR="00D64C5A" w:rsidRPr="00D64C5A">
        <w:rPr>
          <w:rFonts w:asciiTheme="majorBidi" w:hAnsiTheme="majorBidi" w:cstheme="majorBidi"/>
        </w:rPr>
        <w:t xml:space="preserve"> </w:t>
      </w:r>
      <w:r w:rsidRPr="00D64C5A">
        <w:rPr>
          <w:rFonts w:asciiTheme="majorBidi" w:hAnsiTheme="majorBidi" w:cstheme="majorBidi"/>
        </w:rPr>
        <w:fldChar w:fldCharType="begin"/>
      </w:r>
      <w:r w:rsidRPr="00D64C5A">
        <w:rPr>
          <w:rFonts w:asciiTheme="majorBidi" w:hAnsiTheme="majorBidi" w:cstheme="majorBidi"/>
        </w:rPr>
        <w:instrText xml:space="preserve"> ADDIN ZOTERO_ITEM CSL_CITATION {"citationID":"PQscteyV","properties":{"formattedCitation":"M. Nurdin Zuhdi, {\\i{}Pasaraya tafsir Indonesia: dari kontestasi metodologi hingga kontekstualisasi} (Yogyakarta: Kaukaba, 2014).","plainCitation":"M. Nurdin Zuhdi, Pasaraya tafsir Indonesia: dari kontestasi metodologi hingga kontekstualisasi (Yogyakarta: Kaukaba, 2014).","noteIndex":11},"citationItems":[{"id":395,"uris":["http://zotero.org/users/local/pOTnlTn6/items/FXFRFQAG"],"uri":["http://zotero.org/users/local/pOTnlTn6/items/FXFRFQAG"],"itemData":{"id":395,"type":"book","title":"Pasaraya tafsir Indonesia: dari kontestasi metodologi hingga kontekstualisasi","publisher":"Kaukaba","publisher-place":"Yogyakarta","event-place":"Yogyakarta","author":[{"family":"Zuhdi","given":"M. Nurdin"}],"issued":{"date-parts":[["2014"]]}}}],"schema":"https://github.com/citation-style-language/schema/raw/master/csl-citation.json"} </w:instrText>
      </w:r>
      <w:r w:rsidRPr="00D64C5A">
        <w:rPr>
          <w:rFonts w:asciiTheme="majorBidi" w:hAnsiTheme="majorBidi" w:cstheme="majorBidi"/>
        </w:rPr>
        <w:fldChar w:fldCharType="separate"/>
      </w:r>
      <w:r w:rsidR="00D64C5A" w:rsidRPr="00D64C5A">
        <w:rPr>
          <w:rFonts w:asciiTheme="majorBidi" w:hAnsiTheme="majorBidi" w:cstheme="majorBidi"/>
          <w:szCs w:val="24"/>
        </w:rPr>
        <w:t xml:space="preserve">M. Nurdin Zuhdi, </w:t>
      </w:r>
      <w:r w:rsidR="00D64C5A" w:rsidRPr="00D64C5A">
        <w:rPr>
          <w:rFonts w:asciiTheme="majorBidi" w:hAnsiTheme="majorBidi" w:cstheme="majorBidi"/>
          <w:i/>
          <w:iCs/>
          <w:szCs w:val="24"/>
        </w:rPr>
        <w:t>Pasaraya Tafsir Indonesia: Dari Kontestasi Metodologi Hingga Kontekstualisasi</w:t>
      </w:r>
      <w:r w:rsidR="00D64C5A" w:rsidRPr="00D64C5A">
        <w:rPr>
          <w:rFonts w:asciiTheme="majorBidi" w:hAnsiTheme="majorBidi" w:cstheme="majorBidi"/>
          <w:szCs w:val="24"/>
        </w:rPr>
        <w:t xml:space="preserve"> (Yogyakarta: Kaukaba, 2014).</w:t>
      </w:r>
      <w:r w:rsidRPr="00D64C5A">
        <w:rPr>
          <w:rFonts w:asciiTheme="majorBidi" w:hAnsiTheme="majorBidi" w:cstheme="majorBidi"/>
        </w:rPr>
        <w:fldChar w:fldCharType="end"/>
      </w:r>
    </w:p>
  </w:footnote>
  <w:footnote w:id="12">
    <w:p w:rsidR="00382B86" w:rsidRPr="00D64C5A" w:rsidRDefault="00382B86" w:rsidP="00D64C5A">
      <w:pPr>
        <w:pStyle w:val="FootnoteText"/>
        <w:ind w:firstLine="567"/>
        <w:jc w:val="both"/>
        <w:rPr>
          <w:rFonts w:asciiTheme="majorBidi" w:hAnsiTheme="majorBidi" w:cstheme="majorBidi"/>
        </w:rPr>
      </w:pPr>
      <w:r w:rsidRPr="00D64C5A">
        <w:rPr>
          <w:rStyle w:val="FootnoteReference"/>
          <w:rFonts w:asciiTheme="majorBidi" w:hAnsiTheme="majorBidi" w:cstheme="majorBidi"/>
        </w:rPr>
        <w:footnoteRef/>
      </w:r>
      <w:r w:rsidR="00D64C5A" w:rsidRPr="00D64C5A">
        <w:rPr>
          <w:rFonts w:asciiTheme="majorBidi" w:hAnsiTheme="majorBidi" w:cstheme="majorBidi"/>
        </w:rPr>
        <w:t xml:space="preserve"> </w:t>
      </w:r>
      <w:r w:rsidRPr="00D64C5A">
        <w:rPr>
          <w:rFonts w:asciiTheme="majorBidi" w:hAnsiTheme="majorBidi" w:cstheme="majorBidi"/>
        </w:rPr>
        <w:fldChar w:fldCharType="begin"/>
      </w:r>
      <w:r w:rsidRPr="00D64C5A">
        <w:rPr>
          <w:rFonts w:asciiTheme="majorBidi" w:hAnsiTheme="majorBidi" w:cstheme="majorBidi"/>
        </w:rPr>
        <w:instrText xml:space="preserve"> ADDIN ZOTERO_ITEM CSL_CITATION {"citationID":"JknjNpA5","properties":{"formattedCitation":"Didi Junaedi, \\uc0\\u8220{}MENGENAL LEBIH DEKAT METODE TAFSIR MAUDLU\\uc0\\u8217{}I,\\uc0\\u8221{} {\\i{}Diya Al-Afkar: Jurnal Studi al-Quran Dan al-Hadis} 4, no. 01 (1 Juni 2016), https://doi.org/10.24235/diyaafkar.v4i01.799.","plainCitation":"Didi Junaedi, “MENGENAL LEBIH DEKAT METODE TAFSIR MAUDLU’I,” Diya Al-Afkar: Jurnal Studi al-Quran Dan al-Hadis 4, no. 01 (1 Juni 2016), https://doi.org/10.24235/diyaafkar.v4i01.799.","noteIndex":12},"citationItems":[{"id":384,"uris":["http://zotero.org/users/local/pOTnlTn6/items/2MIEIUBJ"],"uri":["http://zotero.org/users/local/pOTnlTn6/items/2MIEIUBJ"],"itemData":{"id":384,"type":"article-journal","title":"MENGENAL LEBIH DEKAT METODE TAFSIR MAUDLU’I","container-title":"Diya Al-Afkar: Jurnal Studi al-Quran dan al-Hadis","volume":"4","issue":"01","source":"www.syekhnurjati.ac.id","abstract":"Memasuki era Modern, era di mana segalanya ingin segera dipenuhi dalam waktu singkat, harapan masyarakat untuk dapat memahami pesan-pesan al-Qur’an yang lebih cepat dan utuh tentang suatu tema tertentu pun tak terelakkan lagi. Konsekuensinya, dibutuhkan sebuah metode penafsiran yang mampu menjawab kebutuhan masyarakat modern tersebut, yang menginginkan pembahasan tentang suatu tema tertentu merujuk kepada ayat-ayat al-Qur’an. Jawaban atas keinginan tersebut kemudian terwujud dengan lahirnya sebuah metode penafsiran yang relatif baru di antara mainstream  metode penafsiran yang ada. Metode tersebut kemudian populer dengan istilah “Metode Tafsir Maudlu’i” atau metode tafsir tematik. Operasionalisasinya mufasir terlebih dahulu menentukan tema kemudian mengumpulkan ayat-ayat yang terkait dengan tema yang dibahas sehingga bisa diketahui pandangan dunia al-Qur’an tentang hal tersebut. Urgensi metode maudhu’i adalah diharapkan menjadi solusi Qur’ani bagi problem masyarakat kontemporer. Dengan demikian, mufasir berusaha kuat untuk tidak fanatik atau condong dengan hasrat dan ideologi yang dipunyainya dan membiarkan al-Qur’an lewat ayat-ayatnya untuk berbicara apa yang diinginkannya terkait tema yang telah ditentukan mufasir itu.  Kata Kunci: kebutuhan masyarakat, berbagai metode tafsir, pandangan dunia al-Qur’an dan solusi Qur’ani.","URL":"http://www.syekhnurjati.ac.id/jurnal/index.php/diya/article/view/799","DOI":"10.24235/diyaafkar.v4i01.799","ISSN":"2442-9872","language":"en","author":[{"family":"Junaedi","given":"Didi"}],"issued":{"date-parts":[["2016",6,1]]},"accessed":{"date-parts":[["2019",9,19]]}}}],"schema":"https://github.com/citation-style-language/schema/raw/master/csl-citation.json"} </w:instrText>
      </w:r>
      <w:r w:rsidRPr="00D64C5A">
        <w:rPr>
          <w:rFonts w:asciiTheme="majorBidi" w:hAnsiTheme="majorBidi" w:cstheme="majorBidi"/>
        </w:rPr>
        <w:fldChar w:fldCharType="separate"/>
      </w:r>
      <w:r w:rsidR="00D64C5A" w:rsidRPr="00D64C5A">
        <w:rPr>
          <w:rFonts w:asciiTheme="majorBidi" w:hAnsiTheme="majorBidi" w:cstheme="majorBidi"/>
          <w:szCs w:val="24"/>
        </w:rPr>
        <w:t xml:space="preserve">Didi Junaedi, “Mengenal Lebih Dekat Metode Tafsir Maudlu’i,” </w:t>
      </w:r>
      <w:r w:rsidR="00D64C5A" w:rsidRPr="00D64C5A">
        <w:rPr>
          <w:rFonts w:asciiTheme="majorBidi" w:hAnsiTheme="majorBidi" w:cstheme="majorBidi"/>
          <w:i/>
          <w:iCs/>
          <w:szCs w:val="24"/>
        </w:rPr>
        <w:t>Diya Al-Afkar: Jurnal Studi Al-Quran Dan Al-Hadis</w:t>
      </w:r>
      <w:r w:rsidR="00D64C5A" w:rsidRPr="00D64C5A">
        <w:rPr>
          <w:rFonts w:asciiTheme="majorBidi" w:hAnsiTheme="majorBidi" w:cstheme="majorBidi"/>
          <w:szCs w:val="24"/>
        </w:rPr>
        <w:t xml:space="preserve"> 4, No. 01 (1 Juni 2016).</w:t>
      </w:r>
      <w:r w:rsidRPr="00D64C5A">
        <w:rPr>
          <w:rFonts w:asciiTheme="majorBidi" w:hAnsiTheme="majorBidi" w:cstheme="majorBidi"/>
        </w:rPr>
        <w:fldChar w:fldCharType="end"/>
      </w:r>
    </w:p>
  </w:footnote>
  <w:footnote w:id="13">
    <w:p w:rsidR="00382B86" w:rsidRPr="00D64C5A" w:rsidRDefault="00382B86" w:rsidP="00D64C5A">
      <w:pPr>
        <w:pStyle w:val="FootnoteText"/>
        <w:ind w:firstLine="567"/>
        <w:jc w:val="both"/>
        <w:rPr>
          <w:rFonts w:asciiTheme="majorBidi" w:hAnsiTheme="majorBidi" w:cstheme="majorBidi"/>
        </w:rPr>
      </w:pPr>
      <w:r w:rsidRPr="00D64C5A">
        <w:rPr>
          <w:rStyle w:val="FootnoteReference"/>
          <w:rFonts w:asciiTheme="majorBidi" w:hAnsiTheme="majorBidi" w:cstheme="majorBidi"/>
        </w:rPr>
        <w:footnoteRef/>
      </w:r>
      <w:r w:rsidR="00D64C5A" w:rsidRPr="00D64C5A">
        <w:rPr>
          <w:rFonts w:asciiTheme="majorBidi" w:hAnsiTheme="majorBidi" w:cstheme="majorBidi"/>
        </w:rPr>
        <w:t xml:space="preserve"> </w:t>
      </w:r>
      <w:r w:rsidRPr="00D64C5A">
        <w:rPr>
          <w:rFonts w:asciiTheme="majorBidi" w:hAnsiTheme="majorBidi" w:cstheme="majorBidi"/>
        </w:rPr>
        <w:fldChar w:fldCharType="begin"/>
      </w:r>
      <w:r w:rsidRPr="00D64C5A">
        <w:rPr>
          <w:rFonts w:asciiTheme="majorBidi" w:hAnsiTheme="majorBidi" w:cstheme="majorBidi"/>
        </w:rPr>
        <w:instrText xml:space="preserve"> ADDIN ZOTERO_ITEM CSL_CITATION {"citationID":"LmpNGcHL","properties":{"formattedCitation":"Ahmad Warson Munawwir, {\\i{}Kamus al-Munawwir} (Surabaya: Pustaka Progressif, 1997).","plainCitation":"Ahmad Warson Munawwir, Kamus al-Munawwir (Surabaya: Pustaka Progressif, 1997).","dontUpdate":true,"noteIndex":13},"citationItems":[{"id":402,"uris":["http://zotero.org/users/local/pOTnlTn6/items/V9AP7NB3"],"uri":["http://zotero.org/users/local/pOTnlTn6/items/V9AP7NB3"],"itemData":{"id":402,"type":"book","title":"Kamus al-Munawwir","publisher":"Pustaka Progressif","publisher-place":"Surabaya","event-place":"Surabaya","author":[{"family":"Munawwir","given":"Ahmad Warson"}],"issued":{"date-parts":[["1997"]]}}}],"schema":"https://github.com/citation-style-language/schema/raw/master/csl-citation.json"} </w:instrText>
      </w:r>
      <w:r w:rsidRPr="00D64C5A">
        <w:rPr>
          <w:rFonts w:asciiTheme="majorBidi" w:hAnsiTheme="majorBidi" w:cstheme="majorBidi"/>
        </w:rPr>
        <w:fldChar w:fldCharType="separate"/>
      </w:r>
      <w:r w:rsidR="00D64C5A" w:rsidRPr="00D64C5A">
        <w:rPr>
          <w:rFonts w:asciiTheme="majorBidi" w:hAnsiTheme="majorBidi" w:cstheme="majorBidi"/>
          <w:szCs w:val="24"/>
        </w:rPr>
        <w:t xml:space="preserve">Ahmad Warson Munawwir, </w:t>
      </w:r>
      <w:r w:rsidR="00D64C5A" w:rsidRPr="00D64C5A">
        <w:rPr>
          <w:rFonts w:asciiTheme="majorBidi" w:hAnsiTheme="majorBidi" w:cstheme="majorBidi"/>
          <w:i/>
          <w:iCs/>
          <w:szCs w:val="24"/>
        </w:rPr>
        <w:t>Kamus Al-Munawwir</w:t>
      </w:r>
      <w:r w:rsidR="00D64C5A" w:rsidRPr="00D64C5A">
        <w:rPr>
          <w:rFonts w:asciiTheme="majorBidi" w:hAnsiTheme="majorBidi" w:cstheme="majorBidi"/>
          <w:szCs w:val="24"/>
        </w:rPr>
        <w:t xml:space="preserve"> (Surabaya: Pustaka Progressif, 1997)</w:t>
      </w:r>
      <w:r w:rsidRPr="00D64C5A">
        <w:rPr>
          <w:rFonts w:asciiTheme="majorBidi" w:hAnsiTheme="majorBidi" w:cstheme="majorBidi"/>
        </w:rPr>
        <w:fldChar w:fldCharType="end"/>
      </w:r>
      <w:r w:rsidR="00D64C5A" w:rsidRPr="00D64C5A">
        <w:rPr>
          <w:rFonts w:asciiTheme="majorBidi" w:hAnsiTheme="majorBidi" w:cstheme="majorBidi"/>
        </w:rPr>
        <w:t>, Hlm. 40-41.</w:t>
      </w:r>
    </w:p>
  </w:footnote>
  <w:footnote w:id="14">
    <w:p w:rsidR="00382B86" w:rsidRDefault="00382B86" w:rsidP="00D64C5A">
      <w:pPr>
        <w:pStyle w:val="FootnoteText"/>
        <w:ind w:firstLine="567"/>
        <w:jc w:val="both"/>
      </w:pPr>
      <w:r w:rsidRPr="00D64C5A">
        <w:rPr>
          <w:rStyle w:val="FootnoteReference"/>
          <w:rFonts w:asciiTheme="majorBidi" w:hAnsiTheme="majorBidi" w:cstheme="majorBidi"/>
        </w:rPr>
        <w:footnoteRef/>
      </w:r>
      <w:r w:rsidR="00D64C5A" w:rsidRPr="00D64C5A">
        <w:rPr>
          <w:rFonts w:asciiTheme="majorBidi" w:hAnsiTheme="majorBidi" w:cstheme="majorBidi"/>
        </w:rPr>
        <w:t xml:space="preserve"> </w:t>
      </w:r>
      <w:r w:rsidRPr="00D64C5A">
        <w:rPr>
          <w:rFonts w:asciiTheme="majorBidi" w:hAnsiTheme="majorBidi" w:cstheme="majorBidi"/>
        </w:rPr>
        <w:fldChar w:fldCharType="begin"/>
      </w:r>
      <w:r w:rsidRPr="00D64C5A">
        <w:rPr>
          <w:rFonts w:asciiTheme="majorBidi" w:hAnsiTheme="majorBidi" w:cstheme="majorBidi"/>
        </w:rPr>
        <w:instrText xml:space="preserve"> ADDIN ZOTERO_ITEM CSL_CITATION {"citationID":"yhdf3Jfr","properties":{"formattedCitation":"Ibn Manzhur, {\\i{}Lis\\uc0\\u257{}n al-Arab} (Beirut: D\\uc0\\u257{}r al-Kutub al-\\uc0\\u8216{}Alamiyyah, 1998).","plainCitation":"Ibn Manzhur, Lisān al-Arab (Beirut: Dār al-Kutub al-‘Alamiyyah, 1998).","dontUpdate":true,"noteIndex":14},"citationItems":[{"id":"Xg6dCsya/JNaGwr7X","uris":["http://zotero.org/users/local/pOTnlTn6/items/7KL6CRJ5"],"uri":["http://zotero.org/users/local/pOTnlTn6/items/7KL6CRJ5"],"itemData":{"id":320,"type":"book","title":"Lisān al-Arab","publisher":"Dār al-Kutub al-‘Alamiyyah","publisher-place":"Beirut","event-place":"Beirut","author":[{"family":"Manzhur","given":"Ibn"}],"issued":{"date-parts":[["1998"]]}}}],"schema":"https://github.com/citation-style-language/schema/raw/master/csl-citation.json"} </w:instrText>
      </w:r>
      <w:r w:rsidRPr="00D64C5A">
        <w:rPr>
          <w:rFonts w:asciiTheme="majorBidi" w:hAnsiTheme="majorBidi" w:cstheme="majorBidi"/>
        </w:rPr>
        <w:fldChar w:fldCharType="separate"/>
      </w:r>
      <w:r w:rsidR="00D64C5A" w:rsidRPr="00D64C5A">
        <w:rPr>
          <w:rFonts w:asciiTheme="majorBidi" w:hAnsiTheme="majorBidi" w:cstheme="majorBidi"/>
          <w:szCs w:val="24"/>
        </w:rPr>
        <w:t xml:space="preserve">Ibn Manzhur, </w:t>
      </w:r>
      <w:r w:rsidR="00D64C5A" w:rsidRPr="00D64C5A">
        <w:rPr>
          <w:rFonts w:asciiTheme="majorBidi" w:hAnsiTheme="majorBidi" w:cstheme="majorBidi"/>
          <w:i/>
          <w:iCs/>
          <w:szCs w:val="24"/>
        </w:rPr>
        <w:t>Lisān Al-Arab</w:t>
      </w:r>
      <w:r w:rsidR="00D64C5A" w:rsidRPr="00D64C5A">
        <w:rPr>
          <w:rFonts w:asciiTheme="majorBidi" w:hAnsiTheme="majorBidi" w:cstheme="majorBidi"/>
          <w:szCs w:val="24"/>
        </w:rPr>
        <w:t xml:space="preserve"> (Beirut: Dār Al-Kutub Al-‘Alamiyyah, 1998)</w:t>
      </w:r>
      <w:r w:rsidRPr="00D64C5A">
        <w:rPr>
          <w:rFonts w:asciiTheme="majorBidi" w:hAnsiTheme="majorBidi" w:cstheme="majorBidi"/>
        </w:rPr>
        <w:fldChar w:fldCharType="end"/>
      </w:r>
      <w:r w:rsidR="00D64C5A" w:rsidRPr="00D64C5A">
        <w:rPr>
          <w:rFonts w:asciiTheme="majorBidi" w:hAnsiTheme="majorBidi" w:cstheme="majorBidi"/>
        </w:rPr>
        <w:t>, Juz 13, Hlm. 21.</w:t>
      </w:r>
    </w:p>
  </w:footnote>
  <w:footnote w:id="15">
    <w:p w:rsidR="00382B86" w:rsidRPr="00D64C5A" w:rsidRDefault="00382B86" w:rsidP="00D64C5A">
      <w:pPr>
        <w:pStyle w:val="FootnoteText"/>
        <w:ind w:firstLine="567"/>
        <w:jc w:val="both"/>
        <w:rPr>
          <w:rFonts w:asciiTheme="majorBidi" w:hAnsiTheme="majorBidi" w:cstheme="majorBidi"/>
        </w:rPr>
      </w:pPr>
      <w:r w:rsidRPr="00D64C5A">
        <w:rPr>
          <w:rStyle w:val="FootnoteReference"/>
          <w:rFonts w:asciiTheme="majorBidi" w:hAnsiTheme="majorBidi" w:cstheme="majorBidi"/>
        </w:rPr>
        <w:footnoteRef/>
      </w:r>
      <w:r w:rsidRPr="00D64C5A">
        <w:rPr>
          <w:rFonts w:asciiTheme="majorBidi" w:hAnsiTheme="majorBidi" w:cstheme="majorBidi"/>
        </w:rPr>
        <w:t xml:space="preserve"> </w:t>
      </w:r>
      <w:r w:rsidRPr="00D64C5A">
        <w:rPr>
          <w:rFonts w:asciiTheme="majorBidi" w:hAnsiTheme="majorBidi" w:cstheme="majorBidi"/>
        </w:rPr>
        <w:fldChar w:fldCharType="begin"/>
      </w:r>
      <w:r w:rsidRPr="00D64C5A">
        <w:rPr>
          <w:rFonts w:asciiTheme="majorBidi" w:hAnsiTheme="majorBidi" w:cstheme="majorBidi"/>
        </w:rPr>
        <w:instrText xml:space="preserve"> ADDIN ZOTERO_ITEM CSL_CITATION {"citationID":"0VvOzBVX","properties":{"formattedCitation":"Ragib Al-Asyfih\\uc0\\u257{}ni, {\\i{}Mufrad\\uc0\\u257{}t li alfadz al-Qur\\uc0\\u8217{}an} (Beirut: D\\uc0\\u257{}r al-Kutub al-Alamiyyah, 2015).","plainCitation":"Ragib Al-Asyfihāni, Mufradāt li alfadz al-Qur’an (Beirut: Dār al-Kutub al-Alamiyyah, 2015).","dontUpdate":true,"noteIndex":15},"citationItems":[{"id":403,"uris":["http://zotero.org/users/local/pOTnlTn6/items/EXJL229U"],"uri":["http://zotero.org/users/local/pOTnlTn6/items/EXJL229U"],"itemData":{"id":403,"type":"book","title":"Mufradāt li alfadz al-Qur'an","publisher":"Dār al-Kutub al-Alamiyyah","publisher-place":"Beirut","event-place":"Beirut","author":[{"family":"Al-Asyfihāni","given":"Ragib"}],"issued":{"date-parts":[["2015"]]}}}],"schema":"https://github.com/citation-style-language/schema/raw/master/csl-citation.json"} </w:instrText>
      </w:r>
      <w:r w:rsidRPr="00D64C5A">
        <w:rPr>
          <w:rFonts w:asciiTheme="majorBidi" w:hAnsiTheme="majorBidi" w:cstheme="majorBidi"/>
        </w:rPr>
        <w:fldChar w:fldCharType="separate"/>
      </w:r>
      <w:r w:rsidRPr="00D64C5A">
        <w:rPr>
          <w:rFonts w:asciiTheme="majorBidi" w:hAnsiTheme="majorBidi" w:cstheme="majorBidi"/>
          <w:szCs w:val="24"/>
        </w:rPr>
        <w:t xml:space="preserve">Ragib Al-Asyfihāni, </w:t>
      </w:r>
      <w:r w:rsidRPr="00D64C5A">
        <w:rPr>
          <w:rFonts w:asciiTheme="majorBidi" w:hAnsiTheme="majorBidi" w:cstheme="majorBidi"/>
          <w:i/>
          <w:iCs/>
          <w:szCs w:val="24"/>
        </w:rPr>
        <w:t>Mufradāt li alfadz al-Qur’an</w:t>
      </w:r>
      <w:r w:rsidRPr="00D64C5A">
        <w:rPr>
          <w:rFonts w:asciiTheme="majorBidi" w:hAnsiTheme="majorBidi" w:cstheme="majorBidi"/>
          <w:szCs w:val="24"/>
        </w:rPr>
        <w:t xml:space="preserve"> (Beirut: Dār al-Kutub al-Alamiyyah, 2015)</w:t>
      </w:r>
      <w:r w:rsidRPr="00D64C5A">
        <w:rPr>
          <w:rFonts w:asciiTheme="majorBidi" w:hAnsiTheme="majorBidi" w:cstheme="majorBidi"/>
        </w:rPr>
        <w:fldChar w:fldCharType="end"/>
      </w:r>
      <w:r w:rsidRPr="00D64C5A">
        <w:rPr>
          <w:rFonts w:asciiTheme="majorBidi" w:hAnsiTheme="majorBidi" w:cstheme="majorBidi"/>
        </w:rPr>
        <w:t>, Juz 1 Hlm. 91.</w:t>
      </w:r>
    </w:p>
  </w:footnote>
  <w:footnote w:id="16">
    <w:p w:rsidR="00382B86" w:rsidRPr="00D64C5A" w:rsidRDefault="00382B86" w:rsidP="00D64C5A">
      <w:pPr>
        <w:pStyle w:val="FootnoteText"/>
        <w:ind w:firstLine="567"/>
        <w:jc w:val="both"/>
        <w:rPr>
          <w:rFonts w:asciiTheme="majorBidi" w:hAnsiTheme="majorBidi" w:cstheme="majorBidi"/>
        </w:rPr>
      </w:pPr>
      <w:r w:rsidRPr="00D64C5A">
        <w:rPr>
          <w:rStyle w:val="FootnoteReference"/>
          <w:rFonts w:asciiTheme="majorBidi" w:hAnsiTheme="majorBidi" w:cstheme="majorBidi"/>
        </w:rPr>
        <w:footnoteRef/>
      </w:r>
      <w:r w:rsidRPr="00D64C5A">
        <w:rPr>
          <w:rFonts w:asciiTheme="majorBidi" w:hAnsiTheme="majorBidi" w:cstheme="majorBidi"/>
        </w:rPr>
        <w:t xml:space="preserve"> </w:t>
      </w:r>
      <w:r w:rsidRPr="00D64C5A">
        <w:rPr>
          <w:rFonts w:asciiTheme="majorBidi" w:hAnsiTheme="majorBidi" w:cstheme="majorBidi"/>
        </w:rPr>
        <w:fldChar w:fldCharType="begin"/>
      </w:r>
      <w:r w:rsidRPr="00D64C5A">
        <w:rPr>
          <w:rFonts w:asciiTheme="majorBidi" w:hAnsiTheme="majorBidi" w:cstheme="majorBidi"/>
        </w:rPr>
        <w:instrText xml:space="preserve"> ADDIN ZOTERO_ITEM CSL_CITATION {"citationID":"UwQOusxZ","properties":{"formattedCitation":"Muslim Ibn Al-hajjah Abu al-Husain al-Qusyairi al-Naisaburi, {\\i{}\\uc0\\u7779{}ahih Muslim} (Beirut: D\\uc0\\u226{}r al-Kutub al-Alamiyyah, 1998).","plainCitation":"Muslim Ibn Al-hajjah Abu al-Husain al-Qusyairi al-Naisaburi, ṣahih Muslim (Beirut: Dâr al-Kutub al-Alamiyyah, 1998).","dontUpdate":true,"noteIndex":16},"citationItems":[{"id":407,"uris":["http://zotero.org/users/local/pOTnlTn6/items/C7EDS9YJ"],"uri":["http://zotero.org/users/local/pOTnlTn6/items/C7EDS9YJ"],"itemData":{"id":407,"type":"book","title":"ṣahih Muslim","publisher":"Dâr al-Kutub al-Alamiyyah","publisher-place":"Beirut","event-place":"Beirut","author":[{"family":"Ibn Al-hajjah Abu al-Husain al-Qusyairi al-Naisaburi","given":"Muslim"}],"issued":{"date-parts":[["1998"]]}}}],"schema":"https://github.com/citation-style-language/schema/raw/master/csl-citation.json"} </w:instrText>
      </w:r>
      <w:r w:rsidRPr="00D64C5A">
        <w:rPr>
          <w:rFonts w:asciiTheme="majorBidi" w:hAnsiTheme="majorBidi" w:cstheme="majorBidi"/>
        </w:rPr>
        <w:fldChar w:fldCharType="separate"/>
      </w:r>
      <w:r w:rsidRPr="00D64C5A">
        <w:rPr>
          <w:rFonts w:asciiTheme="majorBidi" w:hAnsiTheme="majorBidi" w:cstheme="majorBidi"/>
          <w:szCs w:val="24"/>
        </w:rPr>
        <w:t xml:space="preserve">Muslim Ibn Al-hajjah Abu al-Husain al-Qusyairi al-Naisaburi, </w:t>
      </w:r>
      <w:r w:rsidRPr="00D64C5A">
        <w:rPr>
          <w:rFonts w:asciiTheme="majorBidi" w:hAnsiTheme="majorBidi" w:cstheme="majorBidi"/>
          <w:i/>
          <w:iCs/>
          <w:szCs w:val="24"/>
        </w:rPr>
        <w:t>ṣahih Muslim</w:t>
      </w:r>
      <w:r w:rsidRPr="00D64C5A">
        <w:rPr>
          <w:rFonts w:asciiTheme="majorBidi" w:hAnsiTheme="majorBidi" w:cstheme="majorBidi"/>
          <w:szCs w:val="24"/>
        </w:rPr>
        <w:t xml:space="preserve"> (Beirut: Dâr al-Kutub al-Alamiyyah, 1998)</w:t>
      </w:r>
      <w:r w:rsidRPr="00D64C5A">
        <w:rPr>
          <w:rFonts w:asciiTheme="majorBidi" w:hAnsiTheme="majorBidi" w:cstheme="majorBidi"/>
        </w:rPr>
        <w:fldChar w:fldCharType="end"/>
      </w:r>
      <w:r w:rsidRPr="00D64C5A">
        <w:rPr>
          <w:rFonts w:asciiTheme="majorBidi" w:hAnsiTheme="majorBidi" w:cstheme="majorBidi"/>
        </w:rPr>
        <w:t>, Juz. 1, Hlm. 36.</w:t>
      </w:r>
    </w:p>
  </w:footnote>
  <w:footnote w:id="17">
    <w:p w:rsidR="00382B86" w:rsidRDefault="00382B86" w:rsidP="00D64C5A">
      <w:pPr>
        <w:pStyle w:val="FootnoteText"/>
        <w:ind w:firstLine="567"/>
        <w:jc w:val="both"/>
      </w:pPr>
      <w:r w:rsidRPr="00D64C5A">
        <w:rPr>
          <w:rStyle w:val="FootnoteReference"/>
          <w:rFonts w:asciiTheme="majorBidi" w:hAnsiTheme="majorBidi" w:cstheme="majorBidi"/>
        </w:rPr>
        <w:footnoteRef/>
      </w:r>
      <w:r w:rsidRPr="00D64C5A">
        <w:rPr>
          <w:rFonts w:asciiTheme="majorBidi" w:hAnsiTheme="majorBidi" w:cstheme="majorBidi"/>
        </w:rPr>
        <w:t xml:space="preserve"> </w:t>
      </w:r>
      <w:r w:rsidRPr="00D64C5A">
        <w:rPr>
          <w:rFonts w:asciiTheme="majorBidi" w:hAnsiTheme="majorBidi" w:cstheme="majorBidi"/>
        </w:rPr>
        <w:fldChar w:fldCharType="begin"/>
      </w:r>
      <w:r w:rsidRPr="00D64C5A">
        <w:rPr>
          <w:rFonts w:asciiTheme="majorBidi" w:hAnsiTheme="majorBidi" w:cstheme="majorBidi"/>
        </w:rPr>
        <w:instrText xml:space="preserve"> ADDIN ZOTERO_ITEM CSL_CITATION {"citationID":"riGqiF4K","properties":{"formattedCitation":"Harun Nasution, {\\i{}Teologi Islam: aliran-aliran sejarah analisa perbandingan} (Jakarta: Penerbit Universitas Indonesia, 1986).","plainCitation":"Harun Nasution, Teologi Islam: aliran-aliran sejarah analisa perbandingan (Jakarta: Penerbit Universitas Indonesia, 1986).","dontUpdate":true,"noteIndex":17},"citationItems":[{"id":405,"uris":["http://zotero.org/users/local/pOTnlTn6/items/NJHA9BC9"],"uri":["http://zotero.org/users/local/pOTnlTn6/items/NJHA9BC9"],"itemData":{"id":405,"type":"book","title":"Teologi Islam: aliran-aliran sejarah analisa perbandingan","publisher":"Penerbit Universitas Indonesia","publisher-place":"Jakarta","event-place":"Jakarta","author":[{"family":"Nasution","given":"Harun"}],"issued":{"date-parts":[["1986"]]}}}],"schema":"https://github.com/citation-style-language/schema/raw/master/csl-citation.json"} </w:instrText>
      </w:r>
      <w:r w:rsidRPr="00D64C5A">
        <w:rPr>
          <w:rFonts w:asciiTheme="majorBidi" w:hAnsiTheme="majorBidi" w:cstheme="majorBidi"/>
        </w:rPr>
        <w:fldChar w:fldCharType="separate"/>
      </w:r>
      <w:r w:rsidRPr="00D64C5A">
        <w:rPr>
          <w:rFonts w:asciiTheme="majorBidi" w:hAnsiTheme="majorBidi" w:cstheme="majorBidi"/>
          <w:szCs w:val="24"/>
        </w:rPr>
        <w:t xml:space="preserve">Harun Nasution, </w:t>
      </w:r>
      <w:r w:rsidRPr="00D64C5A">
        <w:rPr>
          <w:rFonts w:asciiTheme="majorBidi" w:hAnsiTheme="majorBidi" w:cstheme="majorBidi"/>
          <w:i/>
          <w:iCs/>
          <w:szCs w:val="24"/>
        </w:rPr>
        <w:t>Teologi Islam: aliran-aliran sejarah analisa perbandingan</w:t>
      </w:r>
      <w:r w:rsidRPr="00D64C5A">
        <w:rPr>
          <w:rFonts w:asciiTheme="majorBidi" w:hAnsiTheme="majorBidi" w:cstheme="majorBidi"/>
          <w:szCs w:val="24"/>
        </w:rPr>
        <w:t xml:space="preserve"> (Jakarta: Penerbit Universitas Indonesia, 1986)</w:t>
      </w:r>
      <w:r w:rsidRPr="00D64C5A">
        <w:rPr>
          <w:rFonts w:asciiTheme="majorBidi" w:hAnsiTheme="majorBidi" w:cstheme="majorBidi"/>
        </w:rPr>
        <w:fldChar w:fldCharType="end"/>
      </w:r>
      <w:r w:rsidRPr="00D64C5A">
        <w:rPr>
          <w:rFonts w:asciiTheme="majorBidi" w:hAnsiTheme="majorBidi" w:cstheme="majorBidi"/>
        </w:rPr>
        <w:t>, Hlm. 87.</w:t>
      </w:r>
    </w:p>
  </w:footnote>
  <w:footnote w:id="18">
    <w:p w:rsidR="00382B86" w:rsidRPr="00D64C5A" w:rsidRDefault="00382B86" w:rsidP="00D64C5A">
      <w:pPr>
        <w:pStyle w:val="FootnoteText"/>
        <w:ind w:firstLine="567"/>
        <w:jc w:val="both"/>
        <w:rPr>
          <w:rFonts w:asciiTheme="majorBidi" w:hAnsiTheme="majorBidi" w:cstheme="majorBidi"/>
        </w:rPr>
      </w:pPr>
      <w:r w:rsidRPr="00D64C5A">
        <w:rPr>
          <w:rStyle w:val="FootnoteReference"/>
          <w:rFonts w:asciiTheme="majorBidi" w:hAnsiTheme="majorBidi" w:cstheme="majorBidi"/>
        </w:rPr>
        <w:footnoteRef/>
      </w:r>
      <w:r w:rsidRPr="00D64C5A">
        <w:rPr>
          <w:rFonts w:asciiTheme="majorBidi" w:hAnsiTheme="majorBidi" w:cstheme="majorBidi"/>
        </w:rPr>
        <w:t xml:space="preserve"> </w:t>
      </w:r>
      <w:r w:rsidRPr="00D64C5A">
        <w:rPr>
          <w:rFonts w:asciiTheme="majorBidi" w:hAnsiTheme="majorBidi" w:cstheme="majorBidi"/>
        </w:rPr>
        <w:fldChar w:fldCharType="begin"/>
      </w:r>
      <w:r w:rsidRPr="00D64C5A">
        <w:rPr>
          <w:rFonts w:asciiTheme="majorBidi" w:hAnsiTheme="majorBidi" w:cstheme="majorBidi"/>
        </w:rPr>
        <w:instrText xml:space="preserve"> ADDIN ZOTERO_ITEM CSL_CITATION {"citationID":"vMOn0sYk","properties":{"formattedCitation":"Fuad \\uc0\\u8216{}Abdul B\\uc0\\u257{}q\\uc0\\u299{}, {\\i{}al-Mu\\uc0\\u8217{}jam al-Mufahrasy li alf\\uc0\\u257{}\\uc0\\u380{} al-Qur\\uc0\\u257{}n al-kar\\uc0\\u299{}m} (Beirut: D\\uc0\\u257{}r al-Fikr al-Isl\\uc0\\u257{}my, 1998).","plainCitation":"Fuad ‘Abdul Bāqī, al-Mu’jam al-Mufahrasy li alfāż al-Qurān al-karīm (Beirut: Dār al-Fikr al-Islāmy, 1998).","dontUpdate":true,"noteIndex":18},"citationItems":[{"id":404,"uris":["http://zotero.org/users/local/pOTnlTn6/items/8V6TNK5V"],"uri":["http://zotero.org/users/local/pOTnlTn6/items/8V6TNK5V"],"itemData":{"id":404,"type":"book","title":"al-Mu’jam al-Mufahrasy li alfāż al-Qurān al-karīm","publisher":"Dār al-Fikr al-Islāmy","publisher-place":"Beirut","event-place":"Beirut","author":[{"family":"Bāqī","given":"Fuad ‘Abdul"}],"issued":{"date-parts":[["1998"]]}}}],"schema":"https://github.com/citation-style-language/schema/raw/master/csl-citation.json"} </w:instrText>
      </w:r>
      <w:r w:rsidRPr="00D64C5A">
        <w:rPr>
          <w:rFonts w:asciiTheme="majorBidi" w:hAnsiTheme="majorBidi" w:cstheme="majorBidi"/>
        </w:rPr>
        <w:fldChar w:fldCharType="separate"/>
      </w:r>
      <w:r w:rsidRPr="00D64C5A">
        <w:rPr>
          <w:rFonts w:asciiTheme="majorBidi" w:hAnsiTheme="majorBidi" w:cstheme="majorBidi"/>
          <w:szCs w:val="24"/>
        </w:rPr>
        <w:t xml:space="preserve">Fuad ‘Abdul Bāqī, </w:t>
      </w:r>
      <w:r w:rsidRPr="00D64C5A">
        <w:rPr>
          <w:rFonts w:asciiTheme="majorBidi" w:hAnsiTheme="majorBidi" w:cstheme="majorBidi"/>
          <w:i/>
          <w:iCs/>
          <w:szCs w:val="24"/>
        </w:rPr>
        <w:t>al-Mu’jam al-Mufahrasy li alfāż al-Qurān al-karīm</w:t>
      </w:r>
      <w:r w:rsidRPr="00D64C5A">
        <w:rPr>
          <w:rFonts w:asciiTheme="majorBidi" w:hAnsiTheme="majorBidi" w:cstheme="majorBidi"/>
          <w:szCs w:val="24"/>
        </w:rPr>
        <w:t xml:space="preserve"> (Beirut: Dār al-Fikr al-Islāmy, 1998)</w:t>
      </w:r>
      <w:r w:rsidRPr="00D64C5A">
        <w:rPr>
          <w:rFonts w:asciiTheme="majorBidi" w:hAnsiTheme="majorBidi" w:cstheme="majorBidi"/>
        </w:rPr>
        <w:fldChar w:fldCharType="end"/>
      </w:r>
      <w:r w:rsidRPr="00D64C5A">
        <w:rPr>
          <w:rFonts w:asciiTheme="majorBidi" w:hAnsiTheme="majorBidi" w:cstheme="majorBidi"/>
        </w:rPr>
        <w:t>, Juz 1, Hlm. 90.</w:t>
      </w:r>
    </w:p>
  </w:footnote>
  <w:footnote w:id="19">
    <w:p w:rsidR="00382B86" w:rsidRPr="00D64C5A" w:rsidRDefault="00382B86" w:rsidP="00D64C5A">
      <w:pPr>
        <w:pStyle w:val="FootnoteText"/>
        <w:ind w:firstLine="567"/>
        <w:jc w:val="both"/>
        <w:rPr>
          <w:rFonts w:asciiTheme="majorBidi" w:hAnsiTheme="majorBidi" w:cstheme="majorBidi"/>
        </w:rPr>
      </w:pPr>
      <w:r w:rsidRPr="00D64C5A">
        <w:rPr>
          <w:rStyle w:val="FootnoteReference"/>
          <w:rFonts w:asciiTheme="majorBidi" w:hAnsiTheme="majorBidi" w:cstheme="majorBidi"/>
        </w:rPr>
        <w:footnoteRef/>
      </w:r>
      <w:r w:rsidRPr="00D64C5A">
        <w:rPr>
          <w:rFonts w:asciiTheme="majorBidi" w:hAnsiTheme="majorBidi" w:cstheme="majorBidi"/>
        </w:rPr>
        <w:t xml:space="preserve"> </w:t>
      </w:r>
      <w:r w:rsidRPr="00D64C5A">
        <w:rPr>
          <w:rFonts w:asciiTheme="majorBidi" w:hAnsiTheme="majorBidi" w:cstheme="majorBidi"/>
        </w:rPr>
        <w:fldChar w:fldCharType="begin"/>
      </w:r>
      <w:r w:rsidRPr="00D64C5A">
        <w:rPr>
          <w:rFonts w:asciiTheme="majorBidi" w:hAnsiTheme="majorBidi" w:cstheme="majorBidi"/>
        </w:rPr>
        <w:instrText xml:space="preserve"> ADDIN ZOTERO_ITEM CSL_CITATION {"citationID":"yJSpldW1","properties":{"formattedCitation":"Jalaluddin al-Mahalli dan Jalaluddin al-Suyuti, {\\i{}tafsir Jal\\uc0\\u257{}lain} (Beirut: D\\uc0\\u257{}r al-Fikr al-Isl\\uc0\\u257{}my, 2017).","plainCitation":"Jalaluddin al-Mahalli dan Jalaluddin al-Suyuti, tafsir Jalālain (Beirut: Dār al-Fikr al-Islāmy, 2017).","dontUpdate":true,"noteIndex":19},"citationItems":[{"id":373,"uris":["http://zotero.org/users/local/pOTnlTn6/items/NHIMUYUT"],"uri":["http://zotero.org/users/local/pOTnlTn6/items/NHIMUYUT"],"itemData":{"id":373,"type":"book","title":"Tafsir Jalālain","publisher":"Dār al-Fikr al-Islāmy","publisher-place":"Beirut","event-place":"Beirut","author":[{"family":"Mahalli","given":"Jalaluddin","non-dropping-particle":"al-"},{"family":"Suyuti","given":"Jalaluddin","non-dropping-particle":"al-"}],"issued":{"date-parts":[["2017"]]}}}],"schema":"https://github.com/citation-style-language/schema/raw/master/csl-citation.json"} </w:instrText>
      </w:r>
      <w:r w:rsidRPr="00D64C5A">
        <w:rPr>
          <w:rFonts w:asciiTheme="majorBidi" w:hAnsiTheme="majorBidi" w:cstheme="majorBidi"/>
        </w:rPr>
        <w:fldChar w:fldCharType="separate"/>
      </w:r>
      <w:r w:rsidRPr="00D64C5A">
        <w:rPr>
          <w:rFonts w:asciiTheme="majorBidi" w:hAnsiTheme="majorBidi" w:cstheme="majorBidi"/>
          <w:szCs w:val="24"/>
        </w:rPr>
        <w:t xml:space="preserve">Jalaluddin al-Mahalli dan Jalaluddin al-Suyuti, </w:t>
      </w:r>
      <w:r w:rsidRPr="00D64C5A">
        <w:rPr>
          <w:rFonts w:asciiTheme="majorBidi" w:hAnsiTheme="majorBidi" w:cstheme="majorBidi"/>
          <w:i/>
          <w:iCs/>
          <w:szCs w:val="24"/>
        </w:rPr>
        <w:t>tafsir Jalālain</w:t>
      </w:r>
      <w:r w:rsidRPr="00D64C5A">
        <w:rPr>
          <w:rFonts w:asciiTheme="majorBidi" w:hAnsiTheme="majorBidi" w:cstheme="majorBidi"/>
          <w:szCs w:val="24"/>
        </w:rPr>
        <w:t xml:space="preserve"> (Beirut: Dār al-Fikr al-Islāmy, 2017)</w:t>
      </w:r>
      <w:r w:rsidRPr="00D64C5A">
        <w:rPr>
          <w:rFonts w:asciiTheme="majorBidi" w:hAnsiTheme="majorBidi" w:cstheme="majorBidi"/>
        </w:rPr>
        <w:fldChar w:fldCharType="end"/>
      </w:r>
      <w:r w:rsidRPr="00D64C5A">
        <w:rPr>
          <w:rFonts w:asciiTheme="majorBidi" w:hAnsiTheme="majorBidi" w:cstheme="majorBidi"/>
        </w:rPr>
        <w:t>,  Juz 2, Hlm. 143.</w:t>
      </w:r>
    </w:p>
  </w:footnote>
  <w:footnote w:id="20">
    <w:p w:rsidR="00382B86" w:rsidRPr="00D64C5A" w:rsidRDefault="00382B86" w:rsidP="00D64C5A">
      <w:pPr>
        <w:pStyle w:val="FootnoteText"/>
        <w:ind w:firstLine="567"/>
        <w:jc w:val="both"/>
        <w:rPr>
          <w:rFonts w:asciiTheme="majorBidi" w:hAnsiTheme="majorBidi" w:cstheme="majorBidi"/>
        </w:rPr>
      </w:pPr>
      <w:r w:rsidRPr="00D64C5A">
        <w:rPr>
          <w:rStyle w:val="FootnoteReference"/>
          <w:rFonts w:asciiTheme="majorBidi" w:hAnsiTheme="majorBidi" w:cstheme="majorBidi"/>
        </w:rPr>
        <w:footnoteRef/>
      </w:r>
      <w:r w:rsidRPr="00D64C5A">
        <w:rPr>
          <w:rFonts w:asciiTheme="majorBidi" w:hAnsiTheme="majorBidi" w:cstheme="majorBidi"/>
        </w:rPr>
        <w:t xml:space="preserve"> </w:t>
      </w:r>
      <w:r w:rsidRPr="00D64C5A">
        <w:rPr>
          <w:rFonts w:asciiTheme="majorBidi" w:hAnsiTheme="majorBidi" w:cstheme="majorBidi"/>
        </w:rPr>
        <w:fldChar w:fldCharType="begin"/>
      </w:r>
      <w:r w:rsidRPr="00D64C5A">
        <w:rPr>
          <w:rFonts w:asciiTheme="majorBidi" w:hAnsiTheme="majorBidi" w:cstheme="majorBidi"/>
        </w:rPr>
        <w:instrText xml:space="preserve"> ADDIN ZOTERO_ITEM CSL_CITATION {"citationID":"M9ixwWgn","properties":{"formattedCitation":"Muhammad Ibn Muhammad al-Ghazali, {\\i{}Ihy\\uc0\\u257{}\\uc0\\u8217{} \\uc0\\u8216{}Ulumuddin} (Beirut: D\\uc0\\u257{}r Ibn al-Qayyim, 1997).","plainCitation":"Muhammad Ibn Muhammad al-Ghazali, Ihyā’ ‘Ulumuddin (Beirut: Dār Ibn al-Qayyim, 1997).","dontUpdate":true,"noteIndex":20},"citationItems":[{"id":410,"uris":["http://zotero.org/users/local/pOTnlTn6/items/YBWWKAMZ"],"uri":["http://zotero.org/users/local/pOTnlTn6/items/YBWWKAMZ"],"itemData":{"id":410,"type":"book","title":"Ihyā’ ‘Ulumuddin","publisher":"Dār Ibn al-Qayyim","publisher-place":"Beirut","event-place":"Beirut","author":[{"family":"Ghazali","given":"Muhammad Ibn Muhammad","non-dropping-particle":"al-"}],"issued":{"date-parts":[["1997"]]}}}],"schema":"https://github.com/citation-style-language/schema/raw/master/csl-citation.json"} </w:instrText>
      </w:r>
      <w:r w:rsidRPr="00D64C5A">
        <w:rPr>
          <w:rFonts w:asciiTheme="majorBidi" w:hAnsiTheme="majorBidi" w:cstheme="majorBidi"/>
        </w:rPr>
        <w:fldChar w:fldCharType="separate"/>
      </w:r>
      <w:r w:rsidRPr="00D64C5A">
        <w:rPr>
          <w:rFonts w:asciiTheme="majorBidi" w:hAnsiTheme="majorBidi" w:cstheme="majorBidi"/>
          <w:szCs w:val="24"/>
        </w:rPr>
        <w:t xml:space="preserve">Muhammad Ibn Muhammad al-Ghazali, </w:t>
      </w:r>
      <w:r w:rsidRPr="00D64C5A">
        <w:rPr>
          <w:rFonts w:asciiTheme="majorBidi" w:hAnsiTheme="majorBidi" w:cstheme="majorBidi"/>
          <w:i/>
          <w:iCs/>
          <w:szCs w:val="24"/>
        </w:rPr>
        <w:t>Ihyā’ ‘Ulumuddin</w:t>
      </w:r>
      <w:r w:rsidRPr="00D64C5A">
        <w:rPr>
          <w:rFonts w:asciiTheme="majorBidi" w:hAnsiTheme="majorBidi" w:cstheme="majorBidi"/>
          <w:szCs w:val="24"/>
        </w:rPr>
        <w:t xml:space="preserve"> (Beirut: Dār Ibn al-Qayyim, 1997)</w:t>
      </w:r>
      <w:r w:rsidRPr="00D64C5A">
        <w:rPr>
          <w:rFonts w:asciiTheme="majorBidi" w:hAnsiTheme="majorBidi" w:cstheme="majorBidi"/>
        </w:rPr>
        <w:fldChar w:fldCharType="end"/>
      </w:r>
      <w:r w:rsidRPr="00D64C5A">
        <w:rPr>
          <w:rFonts w:asciiTheme="majorBidi" w:hAnsiTheme="majorBidi" w:cstheme="majorBidi"/>
        </w:rPr>
        <w:t>, Juz 1, Hlm. 115.</w:t>
      </w:r>
    </w:p>
  </w:footnote>
  <w:footnote w:id="21">
    <w:p w:rsidR="00382B86" w:rsidRPr="00D64C5A" w:rsidRDefault="00382B86" w:rsidP="00D64C5A">
      <w:pPr>
        <w:pStyle w:val="FootnoteText"/>
        <w:ind w:firstLine="567"/>
        <w:jc w:val="both"/>
        <w:rPr>
          <w:rFonts w:asciiTheme="majorBidi" w:hAnsiTheme="majorBidi" w:cstheme="majorBidi"/>
        </w:rPr>
      </w:pPr>
      <w:r w:rsidRPr="00D64C5A">
        <w:rPr>
          <w:rStyle w:val="FootnoteReference"/>
          <w:rFonts w:asciiTheme="majorBidi" w:hAnsiTheme="majorBidi" w:cstheme="majorBidi"/>
        </w:rPr>
        <w:footnoteRef/>
      </w:r>
      <w:r w:rsidRPr="00D64C5A">
        <w:rPr>
          <w:rFonts w:asciiTheme="majorBidi" w:hAnsiTheme="majorBidi" w:cstheme="majorBidi"/>
        </w:rPr>
        <w:t xml:space="preserve"> </w:t>
      </w:r>
      <w:r w:rsidRPr="00D64C5A">
        <w:rPr>
          <w:rFonts w:asciiTheme="majorBidi" w:hAnsiTheme="majorBidi" w:cstheme="majorBidi"/>
        </w:rPr>
        <w:fldChar w:fldCharType="begin"/>
      </w:r>
      <w:r w:rsidRPr="00D64C5A">
        <w:rPr>
          <w:rFonts w:asciiTheme="majorBidi" w:hAnsiTheme="majorBidi" w:cstheme="majorBidi"/>
        </w:rPr>
        <w:instrText xml:space="preserve"> ADDIN ZOTERO_ITEM CSL_CITATION {"citationID":"IOPQIhln","properties":{"formattedCitation":"Jalaluddin al-Mahalli dan Jalaluddin al-Suyuti, {\\i{}tafsir Jal\\uc0\\u257{}lain} (Beirut: D\\uc0\\u257{}r al-Fikr al-Isl\\uc0\\u257{}my, 2017).","plainCitation":"Jalaluddin al-Mahalli dan Jalaluddin al-Suyuti, tafsir Jalālain (Beirut: Dār al-Fikr al-Islāmy, 2017).","dontUpdate":true,"noteIndex":21},"citationItems":[{"id":373,"uris":["http://zotero.org/users/local/pOTnlTn6/items/NHIMUYUT"],"uri":["http://zotero.org/users/local/pOTnlTn6/items/NHIMUYUT"],"itemData":{"id":373,"type":"book","title":"Tafsir Jalālain","publisher":"Dār al-Fikr al-Islāmy","publisher-place":"Beirut","event-place":"Beirut","author":[{"family":"Mahalli","given":"Jalaluddin","non-dropping-particle":"al-"},{"family":"Suyuti","given":"Jalaluddin","non-dropping-particle":"al-"}],"issued":{"date-parts":[["2017"]]}}}],"schema":"https://github.com/citation-style-language/schema/raw/master/csl-citation.json"} </w:instrText>
      </w:r>
      <w:r w:rsidRPr="00D64C5A">
        <w:rPr>
          <w:rFonts w:asciiTheme="majorBidi" w:hAnsiTheme="majorBidi" w:cstheme="majorBidi"/>
        </w:rPr>
        <w:fldChar w:fldCharType="separate"/>
      </w:r>
      <w:r w:rsidRPr="00D64C5A">
        <w:rPr>
          <w:rFonts w:asciiTheme="majorBidi" w:hAnsiTheme="majorBidi" w:cstheme="majorBidi"/>
          <w:szCs w:val="24"/>
        </w:rPr>
        <w:t>Jalaluddin al-Mahalli dan Jalaluddin al-Suyuti,</w:t>
      </w:r>
      <w:r w:rsidRPr="00D64C5A">
        <w:rPr>
          <w:rFonts w:asciiTheme="majorBidi" w:hAnsiTheme="majorBidi" w:cstheme="majorBidi"/>
        </w:rPr>
        <w:fldChar w:fldCharType="end"/>
      </w:r>
      <w:r w:rsidRPr="00D64C5A">
        <w:rPr>
          <w:rFonts w:asciiTheme="majorBidi" w:hAnsiTheme="majorBidi" w:cstheme="majorBidi"/>
        </w:rPr>
        <w:t xml:space="preserve"> Juz 2, Hlm. 143.</w:t>
      </w:r>
    </w:p>
  </w:footnote>
  <w:footnote w:id="22">
    <w:p w:rsidR="00382B86" w:rsidRPr="00D64C5A" w:rsidRDefault="00382B86" w:rsidP="00D64C5A">
      <w:pPr>
        <w:pStyle w:val="FootnoteText"/>
        <w:ind w:firstLine="567"/>
        <w:jc w:val="both"/>
        <w:rPr>
          <w:rFonts w:asciiTheme="majorBidi" w:hAnsiTheme="majorBidi" w:cstheme="majorBidi"/>
        </w:rPr>
      </w:pPr>
      <w:r w:rsidRPr="00D64C5A">
        <w:rPr>
          <w:rStyle w:val="FootnoteReference"/>
          <w:rFonts w:asciiTheme="majorBidi" w:hAnsiTheme="majorBidi" w:cstheme="majorBidi"/>
        </w:rPr>
        <w:footnoteRef/>
      </w:r>
      <w:r w:rsidRPr="00D64C5A">
        <w:rPr>
          <w:rFonts w:asciiTheme="majorBidi" w:hAnsiTheme="majorBidi" w:cstheme="majorBidi"/>
        </w:rPr>
        <w:t xml:space="preserve"> </w:t>
      </w:r>
      <w:r w:rsidRPr="00D64C5A">
        <w:rPr>
          <w:rFonts w:asciiTheme="majorBidi" w:hAnsiTheme="majorBidi" w:cstheme="majorBidi"/>
        </w:rPr>
        <w:fldChar w:fldCharType="begin"/>
      </w:r>
      <w:r w:rsidRPr="00D64C5A">
        <w:rPr>
          <w:rFonts w:asciiTheme="majorBidi" w:hAnsiTheme="majorBidi" w:cstheme="majorBidi"/>
        </w:rPr>
        <w:instrText xml:space="preserve"> ADDIN ZOTERO_ITEM CSL_CITATION {"citationID":"lVBA5N18","properties":{"formattedCitation":"al-Mahalli dan al-Suyuti.","plainCitation":"al-Mahalli dan al-Suyuti.","dontUpdate":true,"noteIndex":22},"citationItems":[{"id":373,"uris":["http://zotero.org/users/local/pOTnlTn6/items/NHIMUYUT"],"uri":["http://zotero.org/users/local/pOTnlTn6/items/NHIMUYUT"],"itemData":{"id":373,"type":"book","title":"Tafsir Jalālain","publisher":"Dār al-Fikr al-Islāmy","publisher-place":"Beirut","event-place":"Beirut","author":[{"family":"Mahalli","given":"Jalaluddin","non-dropping-particle":"al-"},{"family":"Suyuti","given":"Jalaluddin","non-dropping-particle":"al-"}],"issued":{"date-parts":[["2017"]]}}}],"schema":"https://github.com/citation-style-language/schema/raw/master/csl-citation.json"} </w:instrText>
      </w:r>
      <w:r w:rsidRPr="00D64C5A">
        <w:rPr>
          <w:rFonts w:asciiTheme="majorBidi" w:hAnsiTheme="majorBidi" w:cstheme="majorBidi"/>
        </w:rPr>
        <w:fldChar w:fldCharType="separate"/>
      </w:r>
      <w:r w:rsidRPr="00D64C5A">
        <w:rPr>
          <w:rFonts w:asciiTheme="majorBidi" w:hAnsiTheme="majorBidi" w:cstheme="majorBidi"/>
        </w:rPr>
        <w:t>al-Mahalli dan al-Suyuti</w:t>
      </w:r>
      <w:r w:rsidRPr="00D64C5A">
        <w:rPr>
          <w:rFonts w:asciiTheme="majorBidi" w:hAnsiTheme="majorBidi" w:cstheme="majorBidi"/>
        </w:rPr>
        <w:fldChar w:fldCharType="end"/>
      </w:r>
      <w:r w:rsidRPr="00D64C5A">
        <w:rPr>
          <w:rFonts w:asciiTheme="majorBidi" w:hAnsiTheme="majorBidi" w:cstheme="majorBidi"/>
        </w:rPr>
        <w:t xml:space="preserve">, </w:t>
      </w:r>
      <w:r w:rsidRPr="00D64C5A">
        <w:rPr>
          <w:rFonts w:asciiTheme="majorBidi" w:hAnsiTheme="majorBidi" w:cstheme="majorBidi"/>
          <w:i/>
          <w:iCs/>
          <w:szCs w:val="24"/>
        </w:rPr>
        <w:t>Tafsir Jalālain</w:t>
      </w:r>
      <w:r w:rsidRPr="00D64C5A">
        <w:rPr>
          <w:rFonts w:asciiTheme="majorBidi" w:hAnsiTheme="majorBidi" w:cstheme="majorBidi"/>
        </w:rPr>
        <w:t xml:space="preserve"> Juz 2, Hlm. 144.</w:t>
      </w:r>
    </w:p>
  </w:footnote>
  <w:footnote w:id="23">
    <w:p w:rsidR="00382B86" w:rsidRPr="00D64C5A" w:rsidRDefault="00382B86" w:rsidP="00D64C5A">
      <w:pPr>
        <w:pStyle w:val="FootnoteText"/>
        <w:ind w:firstLine="567"/>
        <w:jc w:val="both"/>
        <w:rPr>
          <w:rFonts w:asciiTheme="majorBidi" w:hAnsiTheme="majorBidi" w:cstheme="majorBidi"/>
        </w:rPr>
      </w:pPr>
      <w:r w:rsidRPr="00D64C5A">
        <w:rPr>
          <w:rStyle w:val="FootnoteReference"/>
          <w:rFonts w:asciiTheme="majorBidi" w:hAnsiTheme="majorBidi" w:cstheme="majorBidi"/>
        </w:rPr>
        <w:footnoteRef/>
      </w:r>
      <w:r w:rsidRPr="00D64C5A">
        <w:rPr>
          <w:rFonts w:asciiTheme="majorBidi" w:hAnsiTheme="majorBidi" w:cstheme="majorBidi"/>
        </w:rPr>
        <w:t xml:space="preserve"> </w:t>
      </w:r>
      <w:r w:rsidRPr="00D64C5A">
        <w:rPr>
          <w:rFonts w:asciiTheme="majorBidi" w:hAnsiTheme="majorBidi" w:cstheme="majorBidi"/>
        </w:rPr>
        <w:fldChar w:fldCharType="begin"/>
      </w:r>
      <w:r w:rsidRPr="00D64C5A">
        <w:rPr>
          <w:rFonts w:asciiTheme="majorBidi" w:hAnsiTheme="majorBidi" w:cstheme="majorBidi"/>
        </w:rPr>
        <w:instrText xml:space="preserve"> ADDIN ZOTERO_ITEM CSL_CITATION {"citationID":"xBDgMUgJ","properties":{"formattedCitation":"Muhammad Chirzin, {\\i{}Buku Pintar Asbabun Nuzul} (Jakarta: Zaman, 2011).","plainCitation":"Muhammad Chirzin, Buku Pintar Asbabun Nuzul (Jakarta: Zaman, 2011).","noteIndex":23},"citationItems":[{"id":374,"uris":["http://zotero.org/users/local/pOTnlTn6/items/TMGP6F7D"],"uri":["http://zotero.org/users/local/pOTnlTn6/items/TMGP6F7D"],"itemData":{"id":374,"type":"book","title":"Buku Pintar Asbabun Nuzul","publisher":"Zaman","publisher-place":"Jakarta","event-place":"Jakarta","author":[{"family":"Chirzin","given":"Muhammad"}],"issued":{"date-parts":[["2011"]]}}}],"schema":"https://github.com/citation-style-language/schema/raw/master/csl-citation.json"} </w:instrText>
      </w:r>
      <w:r w:rsidRPr="00D64C5A">
        <w:rPr>
          <w:rFonts w:asciiTheme="majorBidi" w:hAnsiTheme="majorBidi" w:cstheme="majorBidi"/>
        </w:rPr>
        <w:fldChar w:fldCharType="separate"/>
      </w:r>
      <w:r w:rsidRPr="00D64C5A">
        <w:rPr>
          <w:rFonts w:asciiTheme="majorBidi" w:hAnsiTheme="majorBidi" w:cstheme="majorBidi"/>
          <w:szCs w:val="24"/>
        </w:rPr>
        <w:t xml:space="preserve">Muhammad Chirzin, </w:t>
      </w:r>
      <w:r w:rsidRPr="00D64C5A">
        <w:rPr>
          <w:rFonts w:asciiTheme="majorBidi" w:hAnsiTheme="majorBidi" w:cstheme="majorBidi"/>
          <w:i/>
          <w:iCs/>
          <w:szCs w:val="24"/>
        </w:rPr>
        <w:t>Buku Pintar Asbabun Nuzul,</w:t>
      </w:r>
      <w:r w:rsidRPr="00D64C5A">
        <w:rPr>
          <w:rFonts w:asciiTheme="majorBidi" w:hAnsiTheme="majorBidi" w:cstheme="majorBidi"/>
          <w:szCs w:val="24"/>
        </w:rPr>
        <w:t xml:space="preserve"> (Jakarta: Zaman, 2011)</w:t>
      </w:r>
      <w:r w:rsidRPr="00D64C5A">
        <w:rPr>
          <w:rFonts w:asciiTheme="majorBidi" w:hAnsiTheme="majorBidi" w:cstheme="majorBidi"/>
        </w:rPr>
        <w:fldChar w:fldCharType="end"/>
      </w:r>
      <w:r w:rsidRPr="00D64C5A">
        <w:rPr>
          <w:rFonts w:asciiTheme="majorBidi" w:hAnsiTheme="majorBidi" w:cstheme="majorBidi"/>
        </w:rPr>
        <w:t>, Hlm.376.</w:t>
      </w:r>
    </w:p>
  </w:footnote>
  <w:footnote w:id="24">
    <w:p w:rsidR="00382B86" w:rsidRPr="00D64C5A" w:rsidRDefault="00382B86" w:rsidP="00D64C5A">
      <w:pPr>
        <w:pStyle w:val="FootnoteText"/>
        <w:ind w:left="720" w:hanging="153"/>
        <w:rPr>
          <w:rFonts w:asciiTheme="majorBidi" w:hAnsiTheme="majorBidi" w:cstheme="majorBidi"/>
          <w:i/>
          <w:iCs/>
        </w:rPr>
      </w:pPr>
      <w:r w:rsidRPr="00D64C5A">
        <w:rPr>
          <w:rStyle w:val="FootnoteReference"/>
          <w:rFonts w:asciiTheme="majorBidi" w:hAnsiTheme="majorBidi" w:cstheme="majorBidi"/>
        </w:rPr>
        <w:footnoteRef/>
      </w:r>
      <w:r w:rsidRPr="00D64C5A">
        <w:rPr>
          <w:rFonts w:asciiTheme="majorBidi" w:hAnsiTheme="majorBidi" w:cstheme="majorBidi"/>
        </w:rPr>
        <w:t xml:space="preserve"> </w:t>
      </w:r>
      <w:r w:rsidRPr="00D64C5A">
        <w:rPr>
          <w:rFonts w:asciiTheme="majorBidi" w:hAnsiTheme="majorBidi" w:cstheme="majorBidi"/>
        </w:rPr>
        <w:fldChar w:fldCharType="begin"/>
      </w:r>
      <w:r w:rsidRPr="00D64C5A">
        <w:rPr>
          <w:rFonts w:asciiTheme="majorBidi" w:hAnsiTheme="majorBidi" w:cstheme="majorBidi"/>
        </w:rPr>
        <w:instrText xml:space="preserve"> ADDIN ZOTERO_ITEM CSL_CITATION {"citationID":"3YhGFoDr","properties":{"formattedCitation":"al-Mahalli dan al-Suyuti.","plainCitation":"al-Mahalli dan al-Suyuti.","dontUpdate":true,"noteIndex":24},"citationItems":[{"id":373,"uris":["http://zotero.org/users/local/pOTnlTn6/items/NHIMUYUT"],"uri":["http://zotero.org/users/local/pOTnlTn6/items/NHIMUYUT"],"itemData":{"id":373,"type":"book","title":"Tafsir Jalālain","publisher":"Dār al-Fikr al-Islāmy","publisher-place":"Beirut","event-place":"Beirut","author":[{"family":"Mahalli","given":"Jalaluddin","non-dropping-particle":"al-"},{"family":"Suyuti","given":"Jalaluddin","non-dropping-particle":"al-"}],"issued":{"date-parts":[["2017"]]}}}],"schema":"https://github.com/citation-style-language/schema/raw/master/csl-citation.json"} </w:instrText>
      </w:r>
      <w:r w:rsidRPr="00D64C5A">
        <w:rPr>
          <w:rFonts w:asciiTheme="majorBidi" w:hAnsiTheme="majorBidi" w:cstheme="majorBidi"/>
        </w:rPr>
        <w:fldChar w:fldCharType="separate"/>
      </w:r>
      <w:r w:rsidRPr="00D64C5A">
        <w:rPr>
          <w:rFonts w:asciiTheme="majorBidi" w:hAnsiTheme="majorBidi" w:cstheme="majorBidi"/>
        </w:rPr>
        <w:t>al-Mahalli dan al-Suyuti</w:t>
      </w:r>
      <w:r w:rsidRPr="00D64C5A">
        <w:rPr>
          <w:rFonts w:asciiTheme="majorBidi" w:hAnsiTheme="majorBidi" w:cstheme="majorBidi"/>
        </w:rPr>
        <w:fldChar w:fldCharType="end"/>
      </w:r>
      <w:r w:rsidRPr="00D64C5A">
        <w:rPr>
          <w:rFonts w:asciiTheme="majorBidi" w:hAnsiTheme="majorBidi" w:cstheme="majorBidi"/>
        </w:rPr>
        <w:t xml:space="preserve">, </w:t>
      </w:r>
      <w:r w:rsidRPr="00D64C5A">
        <w:rPr>
          <w:rFonts w:asciiTheme="majorBidi" w:hAnsiTheme="majorBidi" w:cstheme="majorBidi"/>
          <w:i/>
          <w:iCs/>
        </w:rPr>
        <w:t xml:space="preserve">Tafsir Jalālain, </w:t>
      </w:r>
      <w:r w:rsidRPr="00D64C5A">
        <w:rPr>
          <w:rFonts w:asciiTheme="majorBidi" w:hAnsiTheme="majorBidi" w:cstheme="majorBidi"/>
        </w:rPr>
        <w:t xml:space="preserve">Juz 2, Hlm. 168. </w:t>
      </w:r>
    </w:p>
  </w:footnote>
  <w:footnote w:id="25">
    <w:p w:rsidR="00382B86" w:rsidRDefault="00382B86" w:rsidP="00D64C5A">
      <w:pPr>
        <w:pStyle w:val="FootnoteText"/>
        <w:ind w:firstLine="567"/>
      </w:pPr>
      <w:r w:rsidRPr="00D64C5A">
        <w:rPr>
          <w:rStyle w:val="FootnoteReference"/>
          <w:rFonts w:asciiTheme="majorBidi" w:hAnsiTheme="majorBidi" w:cstheme="majorBidi"/>
        </w:rPr>
        <w:footnoteRef/>
      </w:r>
      <w:r w:rsidRPr="00D64C5A">
        <w:rPr>
          <w:rFonts w:asciiTheme="majorBidi" w:hAnsiTheme="majorBidi" w:cstheme="majorBidi"/>
        </w:rPr>
        <w:t xml:space="preserve"> </w:t>
      </w:r>
      <w:r w:rsidRPr="00D64C5A">
        <w:rPr>
          <w:rFonts w:asciiTheme="majorBidi" w:hAnsiTheme="majorBidi" w:cstheme="majorBidi"/>
        </w:rPr>
        <w:fldChar w:fldCharType="begin"/>
      </w:r>
      <w:r w:rsidRPr="00D64C5A">
        <w:rPr>
          <w:rFonts w:asciiTheme="majorBidi" w:hAnsiTheme="majorBidi" w:cstheme="majorBidi"/>
        </w:rPr>
        <w:instrText xml:space="preserve"> ADDIN ZOTERO_ITEM CSL_CITATION {"citationID":"zFvLn3TA","properties":{"formattedCitation":"Manzhur, {\\i{}Lis\\uc0\\u257{}n al-Arab}.","plainCitation":"Manzhur, Lisān al-Arab.","noteIndex":25},"citationItems":[{"id":"Xg6dCsya/JNaGwr7X","uris":["http://zotero.org/users/local/pOTnlTn6/items/7KL6CRJ5"],"uri":["http://zotero.org/users/local/pOTnlTn6/items/7KL6CRJ5"],"itemData":{"id":"UIU5K0iS/xAlvrBKM","type":"book","title":"Lisān al-Arab","publisher":"Dār al-Kutub al-‘Alamiyyah","publisher-place":"Beirut","event-place":"Beirut","author":[{"family":"Manzhur","given":"Ibn"}],"issued":{"date-parts":[["1998"]]}}}],"schema":"https://github.com/citation-style-language/schema/raw/master/csl-citation.json"} </w:instrText>
      </w:r>
      <w:r w:rsidRPr="00D64C5A">
        <w:rPr>
          <w:rFonts w:asciiTheme="majorBidi" w:hAnsiTheme="majorBidi" w:cstheme="majorBidi"/>
        </w:rPr>
        <w:fldChar w:fldCharType="separate"/>
      </w:r>
      <w:r w:rsidRPr="00D64C5A">
        <w:rPr>
          <w:rFonts w:asciiTheme="majorBidi" w:hAnsiTheme="majorBidi" w:cstheme="majorBidi"/>
          <w:szCs w:val="24"/>
        </w:rPr>
        <w:t xml:space="preserve">Manzhur, </w:t>
      </w:r>
      <w:r w:rsidRPr="00D64C5A">
        <w:rPr>
          <w:rFonts w:asciiTheme="majorBidi" w:hAnsiTheme="majorBidi" w:cstheme="majorBidi"/>
          <w:i/>
          <w:iCs/>
          <w:szCs w:val="24"/>
        </w:rPr>
        <w:t>Lisān al-Arab</w:t>
      </w:r>
      <w:r w:rsidRPr="00D64C5A">
        <w:rPr>
          <w:rFonts w:asciiTheme="majorBidi" w:hAnsiTheme="majorBidi" w:cstheme="majorBidi"/>
          <w:szCs w:val="24"/>
        </w:rPr>
        <w:t>.</w:t>
      </w:r>
      <w:r w:rsidRPr="00D64C5A">
        <w:rPr>
          <w:rFonts w:asciiTheme="majorBidi" w:hAnsiTheme="majorBidi" w:cstheme="majorBidi"/>
        </w:rPr>
        <w:fldChar w:fldCharType="end"/>
      </w:r>
      <w:r w:rsidRPr="00D64C5A">
        <w:rPr>
          <w:rFonts w:asciiTheme="majorBidi" w:hAnsiTheme="majorBidi" w:cstheme="majorBidi"/>
        </w:rPr>
        <w:t xml:space="preserve"> Juz 5, Hlm. 250.</w:t>
      </w:r>
    </w:p>
  </w:footnote>
  <w:footnote w:id="26">
    <w:p w:rsidR="00382B86" w:rsidRPr="00D64C5A" w:rsidRDefault="00382B86" w:rsidP="00D64C5A">
      <w:pPr>
        <w:pStyle w:val="FootnoteText"/>
        <w:ind w:firstLine="567"/>
        <w:jc w:val="both"/>
        <w:rPr>
          <w:rFonts w:asciiTheme="majorBidi" w:hAnsiTheme="majorBidi" w:cstheme="majorBidi"/>
        </w:rPr>
      </w:pPr>
      <w:r w:rsidRPr="00D64C5A">
        <w:rPr>
          <w:rStyle w:val="FootnoteReference"/>
          <w:rFonts w:asciiTheme="majorBidi" w:hAnsiTheme="majorBidi" w:cstheme="majorBidi"/>
        </w:rPr>
        <w:footnoteRef/>
      </w:r>
      <w:r w:rsidRPr="00D64C5A">
        <w:rPr>
          <w:rFonts w:asciiTheme="majorBidi" w:hAnsiTheme="majorBidi" w:cstheme="majorBidi"/>
        </w:rPr>
        <w:t xml:space="preserve"> </w:t>
      </w:r>
      <w:r w:rsidRPr="00D64C5A">
        <w:rPr>
          <w:rFonts w:asciiTheme="majorBidi" w:hAnsiTheme="majorBidi" w:cstheme="majorBidi"/>
        </w:rPr>
        <w:fldChar w:fldCharType="begin"/>
      </w:r>
      <w:r w:rsidRPr="00D64C5A">
        <w:rPr>
          <w:rFonts w:asciiTheme="majorBidi" w:hAnsiTheme="majorBidi" w:cstheme="majorBidi"/>
        </w:rPr>
        <w:instrText xml:space="preserve"> ADDIN ZOTERO_ITEM CSL_CITATION {"citationID":"k6NtRUTX","properties":{"formattedCitation":"al-Mahalli dan al-Suyuti, {\\i{}Tafsir Jal\\uc0\\u257{}lain}.","plainCitation":"al-Mahalli dan al-Suyuti, Tafsir Jalālain.","noteIndex":26},"citationItems":[{"id":373,"uris":["http://zotero.org/users/local/pOTnlTn6/items/NHIMUYUT"],"uri":["http://zotero.org/users/local/pOTnlTn6/items/NHIMUYUT"],"itemData":{"id":373,"type":"book","title":"Tafsir Jalālain","publisher":"Dār al-Fikr al-Islāmy","publisher-place":"Beirut","event-place":"Beirut","author":[{"family":"Mahalli","given":"Jalaluddin","non-dropping-particle":"al-"},{"family":"Suyuti","given":"Jalaluddin","non-dropping-particle":"al-"}],"issued":{"date-parts":[["2017"]]}}}],"schema":"https://github.com/citation-style-language/schema/raw/master/csl-citation.json"} </w:instrText>
      </w:r>
      <w:r w:rsidRPr="00D64C5A">
        <w:rPr>
          <w:rFonts w:asciiTheme="majorBidi" w:hAnsiTheme="majorBidi" w:cstheme="majorBidi"/>
        </w:rPr>
        <w:fldChar w:fldCharType="separate"/>
      </w:r>
      <w:r w:rsidRPr="00D64C5A">
        <w:rPr>
          <w:rFonts w:asciiTheme="majorBidi" w:hAnsiTheme="majorBidi" w:cstheme="majorBidi"/>
          <w:szCs w:val="24"/>
        </w:rPr>
        <w:t xml:space="preserve">al-Mahalli dan al-Suyuti, </w:t>
      </w:r>
      <w:r w:rsidRPr="00D64C5A">
        <w:rPr>
          <w:rFonts w:asciiTheme="majorBidi" w:hAnsiTheme="majorBidi" w:cstheme="majorBidi"/>
          <w:i/>
          <w:iCs/>
          <w:szCs w:val="24"/>
        </w:rPr>
        <w:t>Tafsir Jalālain</w:t>
      </w:r>
      <w:r w:rsidRPr="00D64C5A">
        <w:rPr>
          <w:rFonts w:asciiTheme="majorBidi" w:hAnsiTheme="majorBidi" w:cstheme="majorBidi"/>
        </w:rPr>
        <w:fldChar w:fldCharType="end"/>
      </w:r>
      <w:r w:rsidRPr="00D64C5A">
        <w:rPr>
          <w:rFonts w:asciiTheme="majorBidi" w:hAnsiTheme="majorBidi" w:cstheme="majorBidi"/>
        </w:rPr>
        <w:t xml:space="preserve">, Juz 3, Hlm. 136-137. </w:t>
      </w:r>
    </w:p>
  </w:footnote>
  <w:footnote w:id="27">
    <w:p w:rsidR="00382B86" w:rsidRPr="00D64C5A" w:rsidRDefault="00382B86" w:rsidP="00D64C5A">
      <w:pPr>
        <w:pStyle w:val="FootnoteText"/>
        <w:ind w:firstLine="567"/>
        <w:jc w:val="both"/>
        <w:rPr>
          <w:rFonts w:asciiTheme="majorBidi" w:hAnsiTheme="majorBidi" w:cstheme="majorBidi"/>
        </w:rPr>
      </w:pPr>
      <w:r w:rsidRPr="00D64C5A">
        <w:rPr>
          <w:rStyle w:val="FootnoteReference"/>
          <w:rFonts w:asciiTheme="majorBidi" w:hAnsiTheme="majorBidi" w:cstheme="majorBidi"/>
        </w:rPr>
        <w:footnoteRef/>
      </w:r>
      <w:r w:rsidRPr="00D64C5A">
        <w:rPr>
          <w:rFonts w:asciiTheme="majorBidi" w:hAnsiTheme="majorBidi" w:cstheme="majorBidi"/>
        </w:rPr>
        <w:t xml:space="preserve"> </w:t>
      </w:r>
      <w:r w:rsidRPr="00D64C5A">
        <w:rPr>
          <w:rFonts w:asciiTheme="majorBidi" w:hAnsiTheme="majorBidi" w:cstheme="majorBidi"/>
        </w:rPr>
        <w:fldChar w:fldCharType="begin"/>
      </w:r>
      <w:r w:rsidRPr="00D64C5A">
        <w:rPr>
          <w:rFonts w:asciiTheme="majorBidi" w:hAnsiTheme="majorBidi" w:cstheme="majorBidi"/>
        </w:rPr>
        <w:instrText xml:space="preserve"> ADDIN ZOTERO_ITEM CSL_CITATION {"citationID":"MXvOfLFL","properties":{"formattedCitation":"Zuhairi Misrawi, {\\i{}Madinah Kota Suci, Piagam Madinah, dan Teladan Muhammad SAW.} (Jakarta: Kompas Media Nusantara, 2009).","plainCitation":"Zuhairi Misrawi, Madinah Kota Suci, Piagam Madinah, dan Teladan Muhammad SAW. (Jakarta: Kompas Media Nusantara, 2009).","noteIndex":27},"citationItems":[{"id":375,"uris":["http://zotero.org/users/local/pOTnlTn6/items/A9N3ADXE"],"uri":["http://zotero.org/users/local/pOTnlTn6/items/A9N3ADXE"],"itemData":{"id":375,"type":"book","title":"Madinah Kota Suci, Piagam Madinah, dan Teladan Muhammad SAW.","publisher":"Kompas Media Nusantara","publisher-place":"Jakarta","event-place":"Jakarta","author":[{"family":"Misrawi","given":"Zuhairi"}],"issued":{"date-parts":[["2009"]]}}}],"schema":"https://github.com/citation-style-language/schema/raw/master/csl-citation.json"} </w:instrText>
      </w:r>
      <w:r w:rsidRPr="00D64C5A">
        <w:rPr>
          <w:rFonts w:asciiTheme="majorBidi" w:hAnsiTheme="majorBidi" w:cstheme="majorBidi"/>
        </w:rPr>
        <w:fldChar w:fldCharType="separate"/>
      </w:r>
      <w:r w:rsidRPr="00D64C5A">
        <w:rPr>
          <w:rFonts w:asciiTheme="majorBidi" w:hAnsiTheme="majorBidi" w:cstheme="majorBidi"/>
          <w:szCs w:val="24"/>
        </w:rPr>
        <w:t xml:space="preserve">Zuhairi Misrawi, </w:t>
      </w:r>
      <w:r w:rsidRPr="00D64C5A">
        <w:rPr>
          <w:rFonts w:asciiTheme="majorBidi" w:hAnsiTheme="majorBidi" w:cstheme="majorBidi"/>
          <w:i/>
          <w:iCs/>
          <w:szCs w:val="24"/>
        </w:rPr>
        <w:t>Madinah Kota Suci, Piagam Madinah, dan Teladan Muhammad SA</w:t>
      </w:r>
      <w:r w:rsidR="00D64C5A">
        <w:rPr>
          <w:rFonts w:asciiTheme="majorBidi" w:hAnsiTheme="majorBidi" w:cstheme="majorBidi"/>
          <w:i/>
          <w:iCs/>
          <w:szCs w:val="24"/>
        </w:rPr>
        <w:t>W,</w:t>
      </w:r>
      <w:r w:rsidRPr="00D64C5A">
        <w:rPr>
          <w:rFonts w:asciiTheme="majorBidi" w:hAnsiTheme="majorBidi" w:cstheme="majorBidi"/>
          <w:szCs w:val="24"/>
        </w:rPr>
        <w:t xml:space="preserve"> (Jakarta: Kompas Media Nusantara, 2009)</w:t>
      </w:r>
      <w:r w:rsidRPr="00D64C5A">
        <w:rPr>
          <w:rFonts w:asciiTheme="majorBidi" w:hAnsiTheme="majorBidi" w:cstheme="majorBidi"/>
        </w:rPr>
        <w:fldChar w:fldCharType="end"/>
      </w:r>
      <w:r w:rsidRPr="00D64C5A">
        <w:rPr>
          <w:rFonts w:asciiTheme="majorBidi" w:hAnsiTheme="majorBidi" w:cstheme="majorBidi"/>
        </w:rPr>
        <w:t>, Hlm. 78.</w:t>
      </w:r>
    </w:p>
  </w:footnote>
  <w:footnote w:id="28">
    <w:p w:rsidR="00382B86" w:rsidRDefault="00382B86" w:rsidP="00D64C5A">
      <w:pPr>
        <w:pStyle w:val="FootnoteText"/>
        <w:ind w:firstLine="567"/>
        <w:jc w:val="both"/>
      </w:pPr>
      <w:r w:rsidRPr="00D64C5A">
        <w:rPr>
          <w:rStyle w:val="FootnoteReference"/>
          <w:rFonts w:asciiTheme="majorBidi" w:hAnsiTheme="majorBidi" w:cstheme="majorBidi"/>
        </w:rPr>
        <w:footnoteRef/>
      </w:r>
      <w:r w:rsidRPr="00D64C5A">
        <w:rPr>
          <w:rFonts w:asciiTheme="majorBidi" w:hAnsiTheme="majorBidi" w:cstheme="majorBidi"/>
        </w:rPr>
        <w:t xml:space="preserve"> </w:t>
      </w:r>
      <w:r w:rsidRPr="00D64C5A">
        <w:rPr>
          <w:rFonts w:asciiTheme="majorBidi" w:hAnsiTheme="majorBidi" w:cstheme="majorBidi"/>
        </w:rPr>
        <w:fldChar w:fldCharType="begin"/>
      </w:r>
      <w:r w:rsidRPr="00D64C5A">
        <w:rPr>
          <w:rFonts w:asciiTheme="majorBidi" w:hAnsiTheme="majorBidi" w:cstheme="majorBidi"/>
        </w:rPr>
        <w:instrText xml:space="preserve"> ADDIN ZOTERO_ITEM CSL_CITATION {"citationID":"zmptKcHJ","properties":{"formattedCitation":"al-Mahalli dan al-Suyuti, {\\i{}Tafsir Jal\\uc0\\u257{}lain}.","plainCitation":"al-Mahalli dan al-Suyuti, Tafsir Jalālain.","noteIndex":28},"citationItems":[{"id":373,"uris":["http://zotero.org/users/local/pOTnlTn6/items/NHIMUYUT"],"uri":["http://zotero.org/users/local/pOTnlTn6/items/NHIMUYUT"],"itemData":{"id":373,"type":"book","title":"Tafsir Jalālain","publisher":"Dār al-Fikr al-Islāmy","publisher-place":"Beirut","event-place":"Beirut","author":[{"family":"Mahalli","given":"Jalaluddin","non-dropping-particle":"al-"},{"family":"Suyuti","given":"Jalaluddin","non-dropping-particle":"al-"}],"issued":{"date-parts":[["2017"]]}}}],"schema":"https://github.com/citation-style-language/schema/raw/master/csl-citation.json"} </w:instrText>
      </w:r>
      <w:r w:rsidRPr="00D64C5A">
        <w:rPr>
          <w:rFonts w:asciiTheme="majorBidi" w:hAnsiTheme="majorBidi" w:cstheme="majorBidi"/>
        </w:rPr>
        <w:fldChar w:fldCharType="separate"/>
      </w:r>
      <w:r w:rsidRPr="00D64C5A">
        <w:rPr>
          <w:rFonts w:asciiTheme="majorBidi" w:hAnsiTheme="majorBidi" w:cstheme="majorBidi"/>
          <w:szCs w:val="24"/>
        </w:rPr>
        <w:t xml:space="preserve">al-Mahalli dan al-Suyuti, </w:t>
      </w:r>
      <w:r w:rsidRPr="00D64C5A">
        <w:rPr>
          <w:rFonts w:asciiTheme="majorBidi" w:hAnsiTheme="majorBidi" w:cstheme="majorBidi"/>
          <w:i/>
          <w:iCs/>
          <w:szCs w:val="24"/>
        </w:rPr>
        <w:t>Tafsir Jalālain</w:t>
      </w:r>
      <w:r w:rsidRPr="00D64C5A">
        <w:rPr>
          <w:rFonts w:asciiTheme="majorBidi" w:hAnsiTheme="majorBidi" w:cstheme="majorBidi"/>
        </w:rPr>
        <w:fldChar w:fldCharType="end"/>
      </w:r>
      <w:r w:rsidRPr="00D64C5A">
        <w:rPr>
          <w:rFonts w:asciiTheme="majorBidi" w:hAnsiTheme="majorBidi" w:cstheme="majorBidi"/>
        </w:rPr>
        <w:t>, Juz 4, Hlm. 142.</w:t>
      </w:r>
      <w:r>
        <w:t xml:space="preserve"> </w:t>
      </w:r>
    </w:p>
  </w:footnote>
  <w:footnote w:id="29">
    <w:p w:rsidR="00382B86" w:rsidRPr="00D64C5A" w:rsidRDefault="00382B86" w:rsidP="00D64C5A">
      <w:pPr>
        <w:pStyle w:val="FootnoteText"/>
        <w:ind w:firstLine="567"/>
        <w:jc w:val="both"/>
        <w:rPr>
          <w:rFonts w:asciiTheme="majorBidi" w:hAnsiTheme="majorBidi" w:cstheme="majorBidi"/>
        </w:rPr>
      </w:pPr>
      <w:r w:rsidRPr="00D64C5A">
        <w:rPr>
          <w:rStyle w:val="FootnoteReference"/>
          <w:rFonts w:asciiTheme="majorBidi" w:hAnsiTheme="majorBidi" w:cstheme="majorBidi"/>
        </w:rPr>
        <w:footnoteRef/>
      </w:r>
      <w:r w:rsidRPr="00D64C5A">
        <w:rPr>
          <w:rFonts w:asciiTheme="majorBidi" w:hAnsiTheme="majorBidi" w:cstheme="majorBidi"/>
        </w:rPr>
        <w:t xml:space="preserve"> </w:t>
      </w:r>
      <w:r w:rsidRPr="00D64C5A">
        <w:rPr>
          <w:rFonts w:asciiTheme="majorBidi" w:hAnsiTheme="majorBidi" w:cstheme="majorBidi"/>
        </w:rPr>
        <w:fldChar w:fldCharType="begin"/>
      </w:r>
      <w:r w:rsidRPr="00D64C5A">
        <w:rPr>
          <w:rFonts w:asciiTheme="majorBidi" w:hAnsiTheme="majorBidi" w:cstheme="majorBidi"/>
        </w:rPr>
        <w:instrText xml:space="preserve"> ADDIN ZOTERO_ITEM CSL_CITATION {"citationID":"9RvYP0iz","properties":{"formattedCitation":"al-Mahalli dan al-Suyuti.","plainCitation":"al-Mahalli dan al-Suyuti.","noteIndex":29},"citationItems":[{"id":373,"uris":["http://zotero.org/users/local/pOTnlTn6/items/NHIMUYUT"],"uri":["http://zotero.org/users/local/pOTnlTn6/items/NHIMUYUT"],"itemData":{"id":373,"type":"book","title":"Tafsir Jalālain","publisher":"Dār al-Fikr al-Islāmy","publisher-place":"Beirut","event-place":"Beirut","author":[{"family":"Mahalli","given":"Jalaluddin","non-dropping-particle":"al-"},{"family":"Suyuti","given":"Jalaluddin","non-dropping-particle":"al-"}],"issued":{"date-parts":[["2017"]]}}}],"schema":"https://github.com/citation-style-language/schema/raw/master/csl-citation.json"} </w:instrText>
      </w:r>
      <w:r w:rsidRPr="00D64C5A">
        <w:rPr>
          <w:rFonts w:asciiTheme="majorBidi" w:hAnsiTheme="majorBidi" w:cstheme="majorBidi"/>
        </w:rPr>
        <w:fldChar w:fldCharType="separate"/>
      </w:r>
      <w:r w:rsidRPr="00D64C5A">
        <w:rPr>
          <w:rFonts w:asciiTheme="majorBidi" w:hAnsiTheme="majorBidi" w:cstheme="majorBidi"/>
        </w:rPr>
        <w:t>al-Mahalli dan al-Suyuti, Tafsir Jalalāin, Juz 4, Hlm. 147.</w:t>
      </w:r>
      <w:r w:rsidRPr="00D64C5A">
        <w:rPr>
          <w:rFonts w:asciiTheme="majorBidi" w:hAnsiTheme="majorBidi" w:cstheme="majorBidi"/>
        </w:rPr>
        <w:fldChar w:fldCharType="end"/>
      </w:r>
      <w:r w:rsidRPr="00D64C5A">
        <w:rPr>
          <w:rFonts w:asciiTheme="majorBidi" w:hAnsiTheme="majorBidi" w:cstheme="majorBidi"/>
        </w:rPr>
        <w:t xml:space="preserve"> </w:t>
      </w:r>
    </w:p>
  </w:footnote>
  <w:footnote w:id="30">
    <w:p w:rsidR="00382B86" w:rsidRPr="00D64C5A" w:rsidRDefault="00382B86" w:rsidP="00D64C5A">
      <w:pPr>
        <w:pStyle w:val="FootnoteText"/>
        <w:ind w:firstLine="567"/>
        <w:jc w:val="both"/>
        <w:rPr>
          <w:rFonts w:asciiTheme="majorBidi" w:hAnsiTheme="majorBidi" w:cstheme="majorBidi"/>
        </w:rPr>
      </w:pPr>
      <w:r w:rsidRPr="00D64C5A">
        <w:rPr>
          <w:rStyle w:val="FootnoteReference"/>
          <w:rFonts w:asciiTheme="majorBidi" w:hAnsiTheme="majorBidi" w:cstheme="majorBidi"/>
        </w:rPr>
        <w:footnoteRef/>
      </w:r>
      <w:r w:rsidRPr="00D64C5A">
        <w:rPr>
          <w:rFonts w:asciiTheme="majorBidi" w:hAnsiTheme="majorBidi" w:cstheme="majorBidi"/>
        </w:rPr>
        <w:t xml:space="preserve"> Jihad merupakan pembahasan yang </w:t>
      </w:r>
      <w:r w:rsidRPr="00D64C5A">
        <w:rPr>
          <w:rFonts w:asciiTheme="majorBidi" w:hAnsiTheme="majorBidi" w:cstheme="majorBidi"/>
          <w:i/>
          <w:iCs/>
        </w:rPr>
        <w:t>debatable</w:t>
      </w:r>
      <w:r w:rsidRPr="00D64C5A">
        <w:rPr>
          <w:rFonts w:asciiTheme="majorBidi" w:hAnsiTheme="majorBidi" w:cstheme="majorBidi"/>
        </w:rPr>
        <w:t xml:space="preserve"> (diperdebatkan) dan </w:t>
      </w:r>
      <w:r w:rsidRPr="00D64C5A">
        <w:rPr>
          <w:rFonts w:asciiTheme="majorBidi" w:hAnsiTheme="majorBidi" w:cstheme="majorBidi"/>
          <w:i/>
          <w:iCs/>
        </w:rPr>
        <w:t>interpretable</w:t>
      </w:r>
      <w:r w:rsidRPr="00D64C5A">
        <w:rPr>
          <w:rFonts w:asciiTheme="majorBidi" w:hAnsiTheme="majorBidi" w:cstheme="majorBidi"/>
        </w:rPr>
        <w:t xml:space="preserve"> (multitafsir) sehingga selalu hangat untuk didiskusikan baik kini besok maupun lusa nanti, </w:t>
      </w:r>
      <w:r w:rsidRPr="00D64C5A">
        <w:rPr>
          <w:rFonts w:asciiTheme="majorBidi" w:hAnsiTheme="majorBidi" w:cstheme="majorBidi"/>
        </w:rPr>
        <w:fldChar w:fldCharType="begin"/>
      </w:r>
      <w:r w:rsidRPr="00D64C5A">
        <w:rPr>
          <w:rFonts w:asciiTheme="majorBidi" w:hAnsiTheme="majorBidi" w:cstheme="majorBidi"/>
        </w:rPr>
        <w:instrText xml:space="preserve"> ADDIN ZOTERO_ITEM CSL_CITATION {"citationID":"qVf58Ifj","properties":{"formattedCitation":"Gamal Al-Banna, {\\i{}Jihad} (Jakarta: Mata Air Publishing, 2006).","plainCitation":"Gamal Al-Banna, Jihad (Jakarta: Mata Air Publishing, 2006).","noteIndex":30},"citationItems":[{"id":413,"uris":["http://zotero.org/users/local/pOTnlTn6/items/I8GCHE52"],"uri":["http://zotero.org/users/local/pOTnlTn6/items/I8GCHE52"],"itemData":{"id":413,"type":"book","title":"Jihad","publisher":"Mata Air Publishing","publisher-place":"Jakarta","event-place":"Jakarta","author":[{"family":"Al-Banna","given":"Gamal"}],"issued":{"date-parts":[["2006"]]}}}],"schema":"https://github.com/citation-style-language/schema/raw/master/csl-citation.json"} </w:instrText>
      </w:r>
      <w:r w:rsidRPr="00D64C5A">
        <w:rPr>
          <w:rFonts w:asciiTheme="majorBidi" w:hAnsiTheme="majorBidi" w:cstheme="majorBidi"/>
        </w:rPr>
        <w:fldChar w:fldCharType="separate"/>
      </w:r>
      <w:r w:rsidRPr="00D64C5A">
        <w:rPr>
          <w:rFonts w:asciiTheme="majorBidi" w:hAnsiTheme="majorBidi" w:cstheme="majorBidi"/>
          <w:szCs w:val="24"/>
        </w:rPr>
        <w:t xml:space="preserve">Gamal Al-Banna, </w:t>
      </w:r>
      <w:r w:rsidRPr="00D64C5A">
        <w:rPr>
          <w:rFonts w:asciiTheme="majorBidi" w:hAnsiTheme="majorBidi" w:cstheme="majorBidi"/>
          <w:i/>
          <w:iCs/>
          <w:szCs w:val="24"/>
        </w:rPr>
        <w:t xml:space="preserve">Jihad, </w:t>
      </w:r>
      <w:r w:rsidRPr="00D64C5A">
        <w:rPr>
          <w:rFonts w:asciiTheme="majorBidi" w:hAnsiTheme="majorBidi" w:cstheme="majorBidi"/>
          <w:szCs w:val="24"/>
        </w:rPr>
        <w:t xml:space="preserve"> (Jakarta: Mata Air Publishing, 2006), Hlm. v-vii.</w:t>
      </w:r>
      <w:r w:rsidRPr="00D64C5A">
        <w:rPr>
          <w:rFonts w:asciiTheme="majorBidi" w:hAnsiTheme="majorBidi" w:cstheme="majorBidi"/>
        </w:rPr>
        <w:fldChar w:fldCharType="end"/>
      </w:r>
    </w:p>
  </w:footnote>
  <w:footnote w:id="31">
    <w:p w:rsidR="00382B86" w:rsidRDefault="00382B86" w:rsidP="00D64C5A">
      <w:pPr>
        <w:pStyle w:val="FootnoteText"/>
        <w:ind w:firstLine="567"/>
        <w:jc w:val="both"/>
      </w:pPr>
      <w:r w:rsidRPr="00D64C5A">
        <w:rPr>
          <w:rStyle w:val="FootnoteReference"/>
          <w:rFonts w:asciiTheme="majorBidi" w:hAnsiTheme="majorBidi" w:cstheme="majorBidi"/>
        </w:rPr>
        <w:footnoteRef/>
      </w:r>
      <w:r w:rsidRPr="00D64C5A">
        <w:rPr>
          <w:rFonts w:asciiTheme="majorBidi" w:hAnsiTheme="majorBidi" w:cstheme="majorBidi"/>
        </w:rPr>
        <w:t xml:space="preserve"> </w:t>
      </w:r>
      <w:r w:rsidRPr="00D64C5A">
        <w:rPr>
          <w:rFonts w:asciiTheme="majorBidi" w:hAnsiTheme="majorBidi" w:cstheme="majorBidi"/>
        </w:rPr>
        <w:fldChar w:fldCharType="begin"/>
      </w:r>
      <w:r w:rsidRPr="00D64C5A">
        <w:rPr>
          <w:rFonts w:asciiTheme="majorBidi" w:hAnsiTheme="majorBidi" w:cstheme="majorBidi"/>
        </w:rPr>
        <w:instrText xml:space="preserve"> ADDIN ZOTERO_ITEM CSL_CITATION {"citationID":"2EEVoAa4","properties":{"formattedCitation":"Baharudin Zamawi, Habieb Bullah, dan Zubaidah Zubaidah, \\uc0\\u8220{}AYAT TOLERANSI DALAM AL-QUR\\uc0\\u8217{}AN: Tinjauan Tafsir Marah Labid,\\uc0\\u8221{} {\\i{}Diya Al-Afkar: Jurnal Studi al-Quran dan al-Hadis} 7, no. 01 (30 Juni 2019): 185\\uc0\\u8211{}97, https://doi.org/10.24235/diyaafkar.v7i01.4535.","plainCitation":"Baharudin Zamawi, Habieb Bullah, dan Zubaidah Zubaidah, “AYAT TOLERANSI DALAM AL-QUR’AN: Tinjauan Tafsir Marah Labid,” Diya Al-Afkar: Jurnal Studi al-Quran dan al-Hadis 7, no. 01 (30 Juni 2019): 185–97, https://doi.org/10.24235/diyaafkar.v7i01.4535.","noteIndex":31},"citationItems":[{"id":414,"uris":["http://zotero.org/users/local/pOTnlTn6/items/9MPM2WRG"],"uri":["http://zotero.org/users/local/pOTnlTn6/items/9MPM2WRG"],"itemData":{"id":414,"type":"article-journal","title":"AYAT TOLERANSI DALAM AL-QUR’AN: Tinjauan Tafsir Marah Labid","container-title":"Diya Al-Afkar: Jurnal Studi al-Quran dan al-Hadis","page":"185-197","volume":"7","issue":"01","source":"www.syekhnurjati.ac.id","abstract":"The nation of Indonesia is one country that has a diversity of abundant, better than tribe, language, or Religion., in the context of this community demanded to apply the meaning of tolerance, in order to realize a pluralistic nation, in accordance with the motto which is sturdy in Indonesia is Bhinneka tunggal Ika which means “Different but still one”. However at this time very much the presence of various conflicts among the religious, so that in reality a religion that teaches to love each other no longer be the role of in peace and harmony, Indonesian society is multi cultural has a face the paradox of change. Islam is the religion of the majority in the community believe Indonesia, therefore, in the development of attitudes and the nature, muslims must demonstrate the value of tolerant to the society, in the religion of Islam Alquran as a book of guidance for muslims, Alquran has explained or has given way for the people of Islam in solving a problem which on the whole concerns the relationship of the social good on a community or personal. that is the reality that in many communities embraced different religions. The religion of Islam trying to dig up the Islamic concept of tolerance that is being obscured its meaning, especially to the younger generation. In a context like this, then we will study the Tafsir of the verses of the holy Quran version Tafsi&gt;r Marah} Labi&gt;d by Shaykh Muhammad Al-Nawawi Al-Jawi.","DOI":"10.24235/diyaafkar.v7i01.4535","ISSN":"2442-9872","title-short":"AYAT TOLERANSI DALAM AL-QUR’AN","language":"id","author":[{"family":"Zamawi","given":"Baharudin"},{"family":"Bullah","given":"Habieb"},{"family":"Zubaidah","given":"Zubaidah"}],"issued":{"date-parts":[["2019",6,30]]}}}],"schema":"https://github.com/citation-style-language/schema/raw/master/csl-citation.json"} </w:instrText>
      </w:r>
      <w:r w:rsidRPr="00D64C5A">
        <w:rPr>
          <w:rFonts w:asciiTheme="majorBidi" w:hAnsiTheme="majorBidi" w:cstheme="majorBidi"/>
        </w:rPr>
        <w:fldChar w:fldCharType="separate"/>
      </w:r>
      <w:r w:rsidRPr="00D64C5A">
        <w:rPr>
          <w:rFonts w:asciiTheme="majorBidi" w:hAnsiTheme="majorBidi" w:cstheme="majorBidi"/>
          <w:szCs w:val="24"/>
        </w:rPr>
        <w:t xml:space="preserve">Baharudin Zamawi, Habieb Bullah, dan Zubaidah Zubaidah, “AYAT TOLERANSI DALAM AL-QUR’AN: Tinjauan Tafsir Marah Labid,” </w:t>
      </w:r>
      <w:r w:rsidRPr="00D64C5A">
        <w:rPr>
          <w:rFonts w:asciiTheme="majorBidi" w:hAnsiTheme="majorBidi" w:cstheme="majorBidi"/>
          <w:i/>
          <w:iCs/>
          <w:szCs w:val="24"/>
        </w:rPr>
        <w:t>Diya Al-Afkar: Jurnal Studi al-Quran dan al-Hadis</w:t>
      </w:r>
      <w:r w:rsidRPr="00D64C5A">
        <w:rPr>
          <w:rFonts w:asciiTheme="majorBidi" w:hAnsiTheme="majorBidi" w:cstheme="majorBidi"/>
          <w:szCs w:val="24"/>
        </w:rPr>
        <w:t xml:space="preserve"> 7, no. 01 (30 Juni 2019): 185–1</w:t>
      </w:r>
      <w:r w:rsidR="00D64C5A" w:rsidRPr="00D64C5A">
        <w:rPr>
          <w:rFonts w:asciiTheme="majorBidi" w:hAnsiTheme="majorBidi" w:cstheme="majorBidi"/>
          <w:szCs w:val="24"/>
        </w:rPr>
        <w:t>97</w:t>
      </w:r>
      <w:r w:rsidRPr="00D64C5A">
        <w:rPr>
          <w:rFonts w:asciiTheme="majorBidi" w:hAnsiTheme="majorBidi" w:cstheme="majorBidi"/>
          <w:szCs w:val="24"/>
        </w:rPr>
        <w:t>.</w:t>
      </w:r>
      <w:r w:rsidRPr="00D64C5A">
        <w:rPr>
          <w:rFonts w:asciiTheme="majorBidi" w:hAnsiTheme="majorBidi" w:cstheme="majorBidi"/>
        </w:rPr>
        <w:fldChar w:fldCharType="end"/>
      </w:r>
    </w:p>
  </w:footnote>
  <w:footnote w:id="32">
    <w:p w:rsidR="0072563F" w:rsidRPr="00D64C5A" w:rsidRDefault="0072563F" w:rsidP="00DF323A">
      <w:pPr>
        <w:pStyle w:val="FootnoteText"/>
        <w:ind w:firstLine="567"/>
        <w:jc w:val="both"/>
        <w:rPr>
          <w:rFonts w:asciiTheme="majorBidi" w:hAnsiTheme="majorBidi" w:cstheme="majorBidi"/>
        </w:rPr>
      </w:pPr>
      <w:r w:rsidRPr="00D64C5A">
        <w:rPr>
          <w:rStyle w:val="FootnoteReference"/>
          <w:rFonts w:asciiTheme="majorBidi" w:hAnsiTheme="majorBidi" w:cstheme="majorBidi"/>
        </w:rPr>
        <w:footnoteRef/>
      </w:r>
      <w:r w:rsidR="00DF323A" w:rsidRPr="00D64C5A">
        <w:rPr>
          <w:rFonts w:asciiTheme="majorBidi" w:hAnsiTheme="majorBidi" w:cstheme="majorBidi"/>
        </w:rPr>
        <w:t xml:space="preserve"> </w:t>
      </w:r>
      <w:r w:rsidRPr="00D64C5A">
        <w:rPr>
          <w:rFonts w:asciiTheme="majorBidi" w:hAnsiTheme="majorBidi" w:cstheme="majorBidi"/>
        </w:rPr>
        <w:fldChar w:fldCharType="begin"/>
      </w:r>
      <w:r w:rsidRPr="00D64C5A">
        <w:rPr>
          <w:rFonts w:asciiTheme="majorBidi" w:hAnsiTheme="majorBidi" w:cstheme="majorBidi"/>
        </w:rPr>
        <w:instrText xml:space="preserve"> ADDIN ZOTERO_ITEM CSL_CITATION {"citationID":"7WasNIDz","properties":{"formattedCitation":"Eka Tresna Setiawan, \\uc0\\u8220{}REINTERPRETASI HADIS-HADIS INTOLERANSI AGAMA DALAM KUTUB AL-TIS\\uc0\\u8217{}AH (KAJIAN TEMATIK),\\uc0\\u8221{} {\\i{}Diya Al-Afkar: Jurnal Studi al-Quran dan al-Hadis} 5, no. 01 (1 Juni 2017): 187\\uc0\\u8211{}218, https://doi.org/10.24235/diyaafkar.v5i01.4339.","plainCitation":"Eka Tresna Setiawan, “REINTERPRETASI HADIS-HADIS INTOLERANSI AGAMA DALAM KUTUB AL-TIS’AH (KAJIAN TEMATIK),” Diya Al-Afkar: Jurnal Studi al-Quran dan al-Hadis 5, no. 01 (1 Juni 2017): 187–218, https://doi.org/10.24235/diyaafkar.v5i01.4339.","noteIndex":32},"citationItems":[{"id":420,"uris":["http://zotero.org/users/local/pOTnlTn6/items/9QE4I9CF"],"uri":["http://zotero.org/users/local/pOTnlTn6/items/9QE4I9CF"],"itemData":{"id":420,"type":"article-journal","title":"REINTERPRETASI HADIS-HADIS INTOLERANSI AGAMA DALAM KUTUB AL-TIS’AH (KAJIAN TEMATIK)","container-title":"Diya Al-Afkar: Jurnal Studi al-Quran dan al-Hadis","page":"187-218","volume":"5","issue":"01","source":"www.syekhnurjati.ac.id","abstract":"Islam is a religion that has the principle of compassion for all nature (rahmatan lil ‘a&gt; lami&gt; n) and tolerance. The problem is, among the traditions of the Prophet Muhammad, there are some who outwardly appear intolerant of non-Muslims. This study aims to explain the concept of tolerance among adherents of religions in Islam, explaining the existence of intolerant traditions of adherents of religions in the pole of al-Tis'ah, and explaining the reinterpretation of these traditions. This research is a type of library research with a qualitative approach and deductive analysis techniques. The theory taken is ikhtilaf al-hadith, namely jam'u, tarjih and naskh by using the priority of jam'u through universal, temporal and local contextualization. The results of this study are First, Islam is a religion that upholds tolerance among religious people, as reflected in the verses of the Qur'an and hadith of the Prophet. Second, there are several intolerant traditions in the al-tis'ah pole, namely the rejection of co-existence, rejection of appreciation and rejection of co-existence. Third, the result of the reinterpretation is that the traditions that appear intolerant are temporal traditions.","DOI":"10.24235/diyaafkar.v5i01.4339","ISSN":"2442-9872","language":"id","author":[{"family":"Setiawan","given":"Eka Tresna"}],"issued":{"date-parts":[["2017",6,1]]}}}],"schema":"https://github.com/citation-style-language/schema/raw/master/csl-citation.json"} </w:instrText>
      </w:r>
      <w:r w:rsidRPr="00D64C5A">
        <w:rPr>
          <w:rFonts w:asciiTheme="majorBidi" w:hAnsiTheme="majorBidi" w:cstheme="majorBidi"/>
        </w:rPr>
        <w:fldChar w:fldCharType="separate"/>
      </w:r>
      <w:r w:rsidR="00DF323A" w:rsidRPr="00D64C5A">
        <w:rPr>
          <w:rFonts w:asciiTheme="majorBidi" w:hAnsiTheme="majorBidi" w:cstheme="majorBidi"/>
          <w:szCs w:val="24"/>
        </w:rPr>
        <w:t xml:space="preserve">Eka Tresna Setiawan, “Reinterpretasi Hadis-Hadis Intoleransi Agama Dalam Kutub Al-Tis’ah (Kajian Tematik),” </w:t>
      </w:r>
      <w:r w:rsidR="00DF323A" w:rsidRPr="00D64C5A">
        <w:rPr>
          <w:rFonts w:asciiTheme="majorBidi" w:hAnsiTheme="majorBidi" w:cstheme="majorBidi"/>
          <w:i/>
          <w:iCs/>
          <w:szCs w:val="24"/>
        </w:rPr>
        <w:t>Diya Al-Afkar: Jurnal Studi Al-Quran Dan Al-Hadis</w:t>
      </w:r>
      <w:r w:rsidR="00DF323A" w:rsidRPr="00D64C5A">
        <w:rPr>
          <w:rFonts w:asciiTheme="majorBidi" w:hAnsiTheme="majorBidi" w:cstheme="majorBidi"/>
          <w:szCs w:val="24"/>
        </w:rPr>
        <w:t xml:space="preserve"> 5</w:t>
      </w:r>
      <w:r w:rsidR="00DF323A">
        <w:rPr>
          <w:rFonts w:asciiTheme="majorBidi" w:hAnsiTheme="majorBidi" w:cstheme="majorBidi"/>
          <w:szCs w:val="24"/>
        </w:rPr>
        <w:t>, No. 01 (1 Juni 2017): 187–218.</w:t>
      </w:r>
      <w:r w:rsidR="00DF323A" w:rsidRPr="00D64C5A">
        <w:rPr>
          <w:rFonts w:asciiTheme="majorBidi" w:hAnsiTheme="majorBidi" w:cstheme="majorBidi"/>
          <w:szCs w:val="24"/>
        </w:rPr>
        <w:t xml:space="preserve"> </w:t>
      </w:r>
      <w:r w:rsidRPr="00D64C5A">
        <w:rPr>
          <w:rFonts w:asciiTheme="majorBidi" w:hAnsiTheme="majorBidi" w:cstheme="majorBidi"/>
        </w:rPr>
        <w:fldChar w:fldCharType="end"/>
      </w:r>
    </w:p>
  </w:footnote>
  <w:footnote w:id="33">
    <w:p w:rsidR="003D523C" w:rsidRPr="00D64C5A" w:rsidRDefault="003D523C" w:rsidP="00DF323A">
      <w:pPr>
        <w:pStyle w:val="FootnoteText"/>
        <w:ind w:firstLine="567"/>
        <w:jc w:val="both"/>
        <w:rPr>
          <w:rFonts w:asciiTheme="majorBidi" w:hAnsiTheme="majorBidi" w:cstheme="majorBidi"/>
        </w:rPr>
      </w:pPr>
      <w:r w:rsidRPr="00D64C5A">
        <w:rPr>
          <w:rStyle w:val="FootnoteReference"/>
          <w:rFonts w:asciiTheme="majorBidi" w:hAnsiTheme="majorBidi" w:cstheme="majorBidi"/>
        </w:rPr>
        <w:footnoteRef/>
      </w:r>
      <w:r w:rsidR="00DF323A" w:rsidRPr="00D64C5A">
        <w:rPr>
          <w:rFonts w:asciiTheme="majorBidi" w:hAnsiTheme="majorBidi" w:cstheme="majorBidi"/>
        </w:rPr>
        <w:t xml:space="preserve"> </w:t>
      </w:r>
      <w:r w:rsidRPr="00D64C5A">
        <w:rPr>
          <w:rFonts w:asciiTheme="majorBidi" w:hAnsiTheme="majorBidi" w:cstheme="majorBidi"/>
        </w:rPr>
        <w:fldChar w:fldCharType="begin"/>
      </w:r>
      <w:r w:rsidRPr="00D64C5A">
        <w:rPr>
          <w:rFonts w:asciiTheme="majorBidi" w:hAnsiTheme="majorBidi" w:cstheme="majorBidi"/>
        </w:rPr>
        <w:instrText xml:space="preserve"> ADDIN ZOTERO_ITEM CSL_CITATION {"citationID":"xTi7hIDk","properties":{"formattedCitation":"Harda Armayanto, \\uc0\\u8220{}Etika Al-Qur\\uc0\\u8217{}an Terhadap Non-Muslim,\\uc0\\u8221{} {\\i{}TSAQAFAH} 9, no. 2 (30 November 2013): 289\\uc0\\u8211{}306, https://doi.org/10.21111/tsaqafah.v9i2.54.","plainCitation":"Harda Armayanto, “Etika Al-Qur’an Terhadap Non-Muslim,” TSAQAFAH 9, no. 2 (30 November 2013): 289–306, https://doi.org/10.21111/tsaqafah.v9i2.54.","noteIndex":33},"citationItems":[{"id":312,"uris":["http://zotero.org/users/local/pOTnlTn6/items/9XQ2IUIP"],"uri":["http://zotero.org/users/local/pOTnlTn6/items/9XQ2IUIP"],"itemData":{"id":312,"type":"article-journal","title":"Etika Al-Qur’an Terhadap Non-Muslim","container-title":"TSAQAFAH","page":"289-306","volume":"9","issue":"2","source":"ejournal.unida.gontor.ac.id","abstract":"This paper describes the ethics toward non-Muslims based on al-Qur’an. Islam as a religion of peace was accused and insulted by the orientalists frequently. These accusations and insulting stated in several articles, journals either in their books. Their books like Islamic Invasion wrote by Robert Morey and Islam Revealed by Anis A Shorrosh are some sample of how the orientalists discredits Islam. Whereas Islam is not like what they accused. On the contrary, Islam has responding their accusations with an elegant and tolerant doctrine. Islam has teaches its peoples to respects another religion’s people, Islam forbids his people to insult other religions, to excoriate their worships or forcing non-Muslims to convert  or believes  to Islam, even  Islam teaches  its  people to acknowledge non-Muslims  as  brother  and  sister.  This  is  Islam’s  admiration  toward  non- Muslims. Surprisingly, these admirations inversely proportional to what non- Muslims did toward Islam and its people. The abuses as what we mention it before, was being happened even until now. Lately, one of  Christian pastor in United State was told his people to burn the Holly Qur’an or as we known about suppression of Rohingya’s Muslims that was did by Myanmar’s Buddhists.","DOI":"10.21111/tsaqafah.v9i2.54","ISSN":"2460-0008","language":"en","author":[{"family":"Armayanto","given":"Harda"}],"issued":{"date-parts":[["2013",11,30]]}}}],"schema":"https://github.com/citation-style-language/schema/raw/master/csl-citation.json"} </w:instrText>
      </w:r>
      <w:r w:rsidRPr="00D64C5A">
        <w:rPr>
          <w:rFonts w:asciiTheme="majorBidi" w:hAnsiTheme="majorBidi" w:cstheme="majorBidi"/>
        </w:rPr>
        <w:fldChar w:fldCharType="separate"/>
      </w:r>
      <w:r w:rsidR="00DF323A" w:rsidRPr="00D64C5A">
        <w:rPr>
          <w:rFonts w:asciiTheme="majorBidi" w:hAnsiTheme="majorBidi" w:cstheme="majorBidi"/>
          <w:szCs w:val="24"/>
        </w:rPr>
        <w:t xml:space="preserve">Harda Armayanto, “Etika Al-Qur’an Terhadap Non-Muslim,” </w:t>
      </w:r>
      <w:r w:rsidR="00DF323A" w:rsidRPr="00D64C5A">
        <w:rPr>
          <w:rFonts w:asciiTheme="majorBidi" w:hAnsiTheme="majorBidi" w:cstheme="majorBidi"/>
          <w:i/>
          <w:iCs/>
          <w:szCs w:val="24"/>
        </w:rPr>
        <w:t>Tsaqafah</w:t>
      </w:r>
      <w:r w:rsidR="00DF323A" w:rsidRPr="00D64C5A">
        <w:rPr>
          <w:rFonts w:asciiTheme="majorBidi" w:hAnsiTheme="majorBidi" w:cstheme="majorBidi"/>
          <w:szCs w:val="24"/>
        </w:rPr>
        <w:t xml:space="preserve"> 9, No. 2 (30 November 201</w:t>
      </w:r>
      <w:r w:rsidR="00DF323A">
        <w:rPr>
          <w:rFonts w:asciiTheme="majorBidi" w:hAnsiTheme="majorBidi" w:cstheme="majorBidi"/>
          <w:szCs w:val="24"/>
        </w:rPr>
        <w:t>3): 289–306</w:t>
      </w:r>
      <w:r w:rsidR="00DF323A" w:rsidRPr="00D64C5A">
        <w:rPr>
          <w:rFonts w:asciiTheme="majorBidi" w:hAnsiTheme="majorBidi" w:cstheme="majorBidi"/>
          <w:szCs w:val="24"/>
        </w:rPr>
        <w:t>.</w:t>
      </w:r>
      <w:r w:rsidRPr="00D64C5A">
        <w:rPr>
          <w:rFonts w:asciiTheme="majorBidi" w:hAnsiTheme="majorBidi" w:cstheme="majorBidi"/>
        </w:rPr>
        <w:fldChar w:fldCharType="end"/>
      </w:r>
    </w:p>
  </w:footnote>
  <w:footnote w:id="34">
    <w:p w:rsidR="003D523C" w:rsidRPr="00D64C5A" w:rsidRDefault="003D523C" w:rsidP="00DF323A">
      <w:pPr>
        <w:pStyle w:val="FootnoteText"/>
        <w:ind w:firstLine="567"/>
        <w:jc w:val="both"/>
        <w:rPr>
          <w:rFonts w:asciiTheme="majorBidi" w:hAnsiTheme="majorBidi" w:cstheme="majorBidi"/>
        </w:rPr>
      </w:pPr>
      <w:r w:rsidRPr="00D64C5A">
        <w:rPr>
          <w:rStyle w:val="FootnoteReference"/>
          <w:rFonts w:asciiTheme="majorBidi" w:hAnsiTheme="majorBidi" w:cstheme="majorBidi"/>
        </w:rPr>
        <w:footnoteRef/>
      </w:r>
      <w:r w:rsidR="00DF323A" w:rsidRPr="00D64C5A">
        <w:rPr>
          <w:rFonts w:asciiTheme="majorBidi" w:hAnsiTheme="majorBidi" w:cstheme="majorBidi"/>
        </w:rPr>
        <w:t xml:space="preserve"> </w:t>
      </w:r>
      <w:r w:rsidRPr="00D64C5A">
        <w:rPr>
          <w:rFonts w:asciiTheme="majorBidi" w:hAnsiTheme="majorBidi" w:cstheme="majorBidi"/>
        </w:rPr>
        <w:fldChar w:fldCharType="begin"/>
      </w:r>
      <w:r w:rsidRPr="00D64C5A">
        <w:rPr>
          <w:rFonts w:asciiTheme="majorBidi" w:hAnsiTheme="majorBidi" w:cstheme="majorBidi"/>
        </w:rPr>
        <w:instrText xml:space="preserve"> ADDIN ZOTERO_ITEM CSL_CITATION {"citationID":"D9DRJJ9o","properties":{"formattedCitation":"Ahmad Tajuddin Arafat, \\uc0\\u8220{}ETIKA PERDAMAIAN ISLAM DALAM WACANA GLOBAL,\\uc0\\u8221{} {\\i{}Kontemplasi}, No. 1, Vol. 5 (2017): 1\\uc0\\u8211{}20.","plainCitation":"Ahmad Tajuddin Arafat, “ETIKA PERDAMAIAN ISLAM DALAM WACANA GLOBAL,” Kontemplasi, No. 1, Vol. 5 (2017): 1–20.","noteIndex":33},"citationItems":[{"id":425,"uris":["http://zotero.org/users/local/pOTnlTn6/items/IAAAQBU7"],"uri":["http://zotero.org/users/local/pOTnlTn6/items/IAAAQBU7"],"itemData":{"id":425,"type":"article-journal","title":"ETIKA PERDAMAIAN ISLAM DALAM WACANA GLOBAL","container-title":"Kontemplasi","collection-title":"No. 1","page":"1-20","volume":"Vol. 5","source":"Zotero","language":"id","author":[{"family":"Arafat","given":"Ahmad Tajuddin"}],"issued":{"date-parts":[["2017"]]}}}],"schema":"https://github.com/citation-style-language/schema/raw/master/csl-citation.json"} </w:instrText>
      </w:r>
      <w:r w:rsidRPr="00D64C5A">
        <w:rPr>
          <w:rFonts w:asciiTheme="majorBidi" w:hAnsiTheme="majorBidi" w:cstheme="majorBidi"/>
        </w:rPr>
        <w:fldChar w:fldCharType="separate"/>
      </w:r>
      <w:r w:rsidR="00DF323A" w:rsidRPr="00D64C5A">
        <w:rPr>
          <w:rFonts w:asciiTheme="majorBidi" w:hAnsiTheme="majorBidi" w:cstheme="majorBidi"/>
          <w:szCs w:val="24"/>
        </w:rPr>
        <w:t xml:space="preserve">Ahmad Tajuddin Arafat, “Etika Perdamaian Islam Dalam Wacana Global,” </w:t>
      </w:r>
      <w:r w:rsidR="00DF323A" w:rsidRPr="00D64C5A">
        <w:rPr>
          <w:rFonts w:asciiTheme="majorBidi" w:hAnsiTheme="majorBidi" w:cstheme="majorBidi"/>
          <w:i/>
          <w:iCs/>
          <w:szCs w:val="24"/>
        </w:rPr>
        <w:t>Kontemplasi</w:t>
      </w:r>
      <w:r w:rsidR="00DF323A" w:rsidRPr="00D64C5A">
        <w:rPr>
          <w:rFonts w:asciiTheme="majorBidi" w:hAnsiTheme="majorBidi" w:cstheme="majorBidi"/>
          <w:szCs w:val="24"/>
        </w:rPr>
        <w:t>, No. 1, Vol. 5 (2017): 1–20.</w:t>
      </w:r>
      <w:r w:rsidRPr="00D64C5A">
        <w:rPr>
          <w:rFonts w:asciiTheme="majorBidi" w:hAnsiTheme="majorBidi" w:cstheme="majorBidi"/>
        </w:rPr>
        <w:fldChar w:fldCharType="end"/>
      </w:r>
    </w:p>
  </w:footnote>
  <w:footnote w:id="35">
    <w:p w:rsidR="0090017A" w:rsidRDefault="0090017A" w:rsidP="00DF323A">
      <w:pPr>
        <w:pStyle w:val="FootnoteText"/>
        <w:ind w:firstLine="567"/>
        <w:jc w:val="both"/>
      </w:pPr>
      <w:r w:rsidRPr="00D64C5A">
        <w:rPr>
          <w:rStyle w:val="FootnoteReference"/>
          <w:rFonts w:asciiTheme="majorBidi" w:hAnsiTheme="majorBidi" w:cstheme="majorBidi"/>
        </w:rPr>
        <w:footnoteRef/>
      </w:r>
      <w:r w:rsidR="00DF323A" w:rsidRPr="00D64C5A">
        <w:rPr>
          <w:rFonts w:asciiTheme="majorBidi" w:hAnsiTheme="majorBidi" w:cstheme="majorBidi"/>
        </w:rPr>
        <w:t xml:space="preserve"> </w:t>
      </w:r>
      <w:r w:rsidRPr="00D64C5A">
        <w:rPr>
          <w:rFonts w:asciiTheme="majorBidi" w:hAnsiTheme="majorBidi" w:cstheme="majorBidi"/>
        </w:rPr>
        <w:fldChar w:fldCharType="begin"/>
      </w:r>
      <w:r w:rsidRPr="00D64C5A">
        <w:rPr>
          <w:rFonts w:asciiTheme="majorBidi" w:hAnsiTheme="majorBidi" w:cstheme="majorBidi"/>
        </w:rPr>
        <w:instrText xml:space="preserve"> ADDIN ZOTERO_ITEM CSL_CITATION {"citationID":"pEHDRDrz","properties":{"formattedCitation":"Maykel Verkuyten dan Luuk Slooter, \\uc0\\u8220{}Muslim and Non-Muslim Adolescents\\uc0\\u8217{} Reasoning About Freedom of Speech and Minority Rights,\\uc0\\u8221{} {\\i{}Child Development} 79, no. 3 (Mei 2008): 514\\uc0\\u8211{}28, https://doi.org/10.1111/j.1467-8624.2008.01140.x.","plainCitation":"Maykel Verkuyten dan Luuk Slooter, “Muslim and Non-Muslim Adolescents’ Reasoning About Freedom of Speech and Minority Rights,” Child Development 79, no. 3 (Mei 2008): 514–28, https://doi.org/10.1111/j.1467-8624.2008.01140.x.","noteIndex":35},"citationItems":[{"id":427,"uris":["http://zotero.org/users/local/pOTnlTn6/items/DIIDUSYQ"],"uri":["http://zotero.org/users/local/pOTnlTn6/items/DIIDUSYQ"],"itemData":{"id":427,"type":"article-journal","title":"Muslim and Non-Muslim Adolescents’ Reasoning About Freedom of Speech and Minority Rights","container-title":"Child Development","page":"514-528","volume":"79","issue":"3","source":"DOI.org (Crossref)","DOI":"10.1111/j.1467-8624.2008.01140.x","ISSN":"0009-3920, 1467-8624","journalAbbreviation":"Child Development","language":"en","author":[{"family":"Verkuyten","given":"Maykel"},{"family":"Slooter","given":"Luuk"}],"issued":{"date-parts":[["2008",5]]}}}],"schema":"https://github.com/citation-style-language/schema/raw/master/csl-citation.json"} </w:instrText>
      </w:r>
      <w:r w:rsidRPr="00D64C5A">
        <w:rPr>
          <w:rFonts w:asciiTheme="majorBidi" w:hAnsiTheme="majorBidi" w:cstheme="majorBidi"/>
        </w:rPr>
        <w:fldChar w:fldCharType="separate"/>
      </w:r>
      <w:r w:rsidR="00DF323A" w:rsidRPr="00D64C5A">
        <w:rPr>
          <w:rFonts w:asciiTheme="majorBidi" w:hAnsiTheme="majorBidi" w:cstheme="majorBidi"/>
          <w:szCs w:val="24"/>
        </w:rPr>
        <w:t xml:space="preserve">Maykel Verkuyten Dan Luuk Slooter, “Muslim And Non-Muslim Adolescents’ Reasoning About Freedom Of Speech And Minority Rights,” </w:t>
      </w:r>
      <w:r w:rsidR="00DF323A" w:rsidRPr="00D64C5A">
        <w:rPr>
          <w:rFonts w:asciiTheme="majorBidi" w:hAnsiTheme="majorBidi" w:cstheme="majorBidi"/>
          <w:i/>
          <w:iCs/>
          <w:szCs w:val="24"/>
        </w:rPr>
        <w:t>Child Development</w:t>
      </w:r>
      <w:r w:rsidR="00DF323A" w:rsidRPr="00D64C5A">
        <w:rPr>
          <w:rFonts w:asciiTheme="majorBidi" w:hAnsiTheme="majorBidi" w:cstheme="majorBidi"/>
          <w:szCs w:val="24"/>
        </w:rPr>
        <w:t xml:space="preserve"> 79, No. 3 (Mei 2008): 514–28.</w:t>
      </w:r>
      <w:r w:rsidRPr="00D64C5A">
        <w:rPr>
          <w:rFonts w:asciiTheme="majorBidi" w:hAnsiTheme="majorBidi" w:cstheme="majorBidi"/>
        </w:rP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F30"/>
    <w:rsid w:val="000250B9"/>
    <w:rsid w:val="0006699E"/>
    <w:rsid w:val="00096C01"/>
    <w:rsid w:val="00100743"/>
    <w:rsid w:val="00154724"/>
    <w:rsid w:val="0019432D"/>
    <w:rsid w:val="001C4CD7"/>
    <w:rsid w:val="001D1D1E"/>
    <w:rsid w:val="00260096"/>
    <w:rsid w:val="00261BE2"/>
    <w:rsid w:val="00283802"/>
    <w:rsid w:val="00297FC0"/>
    <w:rsid w:val="002E0CFE"/>
    <w:rsid w:val="002E498C"/>
    <w:rsid w:val="003441C2"/>
    <w:rsid w:val="00357C94"/>
    <w:rsid w:val="00382B86"/>
    <w:rsid w:val="00391D80"/>
    <w:rsid w:val="003B5D44"/>
    <w:rsid w:val="003B6AD7"/>
    <w:rsid w:val="003D523C"/>
    <w:rsid w:val="003E4F30"/>
    <w:rsid w:val="0042217C"/>
    <w:rsid w:val="004316BF"/>
    <w:rsid w:val="00450C94"/>
    <w:rsid w:val="00490179"/>
    <w:rsid w:val="004A33AD"/>
    <w:rsid w:val="004A34AA"/>
    <w:rsid w:val="004B6425"/>
    <w:rsid w:val="004C55B4"/>
    <w:rsid w:val="00516945"/>
    <w:rsid w:val="00522E76"/>
    <w:rsid w:val="00530F03"/>
    <w:rsid w:val="00544B02"/>
    <w:rsid w:val="005816AE"/>
    <w:rsid w:val="005851D1"/>
    <w:rsid w:val="005A7C62"/>
    <w:rsid w:val="005D2688"/>
    <w:rsid w:val="006020F4"/>
    <w:rsid w:val="00614BFB"/>
    <w:rsid w:val="00651AE1"/>
    <w:rsid w:val="006856AD"/>
    <w:rsid w:val="00697ACF"/>
    <w:rsid w:val="006A16BA"/>
    <w:rsid w:val="006B233F"/>
    <w:rsid w:val="006D2A86"/>
    <w:rsid w:val="006E1B60"/>
    <w:rsid w:val="006E2359"/>
    <w:rsid w:val="00707071"/>
    <w:rsid w:val="0072563F"/>
    <w:rsid w:val="00736FE3"/>
    <w:rsid w:val="00772F51"/>
    <w:rsid w:val="007935D4"/>
    <w:rsid w:val="007A5241"/>
    <w:rsid w:val="007F3C79"/>
    <w:rsid w:val="00857201"/>
    <w:rsid w:val="00874A55"/>
    <w:rsid w:val="008B137B"/>
    <w:rsid w:val="008B1D8F"/>
    <w:rsid w:val="008D48A3"/>
    <w:rsid w:val="008E4407"/>
    <w:rsid w:val="008E45D4"/>
    <w:rsid w:val="008F1495"/>
    <w:rsid w:val="0090017A"/>
    <w:rsid w:val="00921ECF"/>
    <w:rsid w:val="009228E3"/>
    <w:rsid w:val="0092795F"/>
    <w:rsid w:val="009613BB"/>
    <w:rsid w:val="00991A5A"/>
    <w:rsid w:val="009B2C6C"/>
    <w:rsid w:val="009B54D6"/>
    <w:rsid w:val="009C5CA9"/>
    <w:rsid w:val="00A2782F"/>
    <w:rsid w:val="00A70BB8"/>
    <w:rsid w:val="00AB400E"/>
    <w:rsid w:val="00AF013C"/>
    <w:rsid w:val="00B01BCF"/>
    <w:rsid w:val="00B0695B"/>
    <w:rsid w:val="00B10C37"/>
    <w:rsid w:val="00B13B83"/>
    <w:rsid w:val="00C35C78"/>
    <w:rsid w:val="00C36381"/>
    <w:rsid w:val="00C565D8"/>
    <w:rsid w:val="00C72751"/>
    <w:rsid w:val="00C87FBE"/>
    <w:rsid w:val="00CB254A"/>
    <w:rsid w:val="00D040DA"/>
    <w:rsid w:val="00D13BAB"/>
    <w:rsid w:val="00D22151"/>
    <w:rsid w:val="00D6003D"/>
    <w:rsid w:val="00D6099B"/>
    <w:rsid w:val="00D64C5A"/>
    <w:rsid w:val="00D763D2"/>
    <w:rsid w:val="00D7714A"/>
    <w:rsid w:val="00DE5C61"/>
    <w:rsid w:val="00DF323A"/>
    <w:rsid w:val="00E04641"/>
    <w:rsid w:val="00E22AF5"/>
    <w:rsid w:val="00E27160"/>
    <w:rsid w:val="00E96482"/>
    <w:rsid w:val="00F01BE8"/>
    <w:rsid w:val="00F36650"/>
    <w:rsid w:val="00F52530"/>
    <w:rsid w:val="00FA22B5"/>
    <w:rsid w:val="00FB1CDF"/>
    <w:rsid w:val="00FF129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4F30"/>
    <w:rPr>
      <w:color w:val="0000FF" w:themeColor="hyperlink"/>
      <w:u w:val="single"/>
    </w:rPr>
  </w:style>
  <w:style w:type="table" w:styleId="TableGrid">
    <w:name w:val="Table Grid"/>
    <w:basedOn w:val="TableNormal"/>
    <w:uiPriority w:val="59"/>
    <w:rsid w:val="00C35C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A7C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7C62"/>
    <w:rPr>
      <w:sz w:val="20"/>
      <w:szCs w:val="20"/>
    </w:rPr>
  </w:style>
  <w:style w:type="character" w:styleId="FootnoteReference">
    <w:name w:val="footnote reference"/>
    <w:basedOn w:val="DefaultParagraphFont"/>
    <w:uiPriority w:val="99"/>
    <w:semiHidden/>
    <w:unhideWhenUsed/>
    <w:rsid w:val="005A7C62"/>
    <w:rPr>
      <w:vertAlign w:val="superscript"/>
    </w:rPr>
  </w:style>
  <w:style w:type="paragraph" w:styleId="HTMLPreformatted">
    <w:name w:val="HTML Preformatted"/>
    <w:basedOn w:val="Normal"/>
    <w:link w:val="HTMLPreformattedChar"/>
    <w:uiPriority w:val="99"/>
    <w:semiHidden/>
    <w:unhideWhenUsed/>
    <w:rsid w:val="00E96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96482"/>
    <w:rPr>
      <w:rFonts w:ascii="Courier New" w:eastAsia="Times New Roman" w:hAnsi="Courier New" w:cs="Courier New"/>
      <w:sz w:val="20"/>
      <w:szCs w:val="20"/>
      <w:lang w:val="en-US"/>
    </w:rPr>
  </w:style>
  <w:style w:type="paragraph" w:styleId="Bibliography">
    <w:name w:val="Bibliography"/>
    <w:basedOn w:val="Normal"/>
    <w:next w:val="Normal"/>
    <w:uiPriority w:val="37"/>
    <w:unhideWhenUsed/>
    <w:rsid w:val="00E96482"/>
    <w:pPr>
      <w:spacing w:after="0" w:line="240" w:lineRule="auto"/>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4F30"/>
    <w:rPr>
      <w:color w:val="0000FF" w:themeColor="hyperlink"/>
      <w:u w:val="single"/>
    </w:rPr>
  </w:style>
  <w:style w:type="table" w:styleId="TableGrid">
    <w:name w:val="Table Grid"/>
    <w:basedOn w:val="TableNormal"/>
    <w:uiPriority w:val="59"/>
    <w:rsid w:val="00C35C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A7C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7C62"/>
    <w:rPr>
      <w:sz w:val="20"/>
      <w:szCs w:val="20"/>
    </w:rPr>
  </w:style>
  <w:style w:type="character" w:styleId="FootnoteReference">
    <w:name w:val="footnote reference"/>
    <w:basedOn w:val="DefaultParagraphFont"/>
    <w:uiPriority w:val="99"/>
    <w:semiHidden/>
    <w:unhideWhenUsed/>
    <w:rsid w:val="005A7C62"/>
    <w:rPr>
      <w:vertAlign w:val="superscript"/>
    </w:rPr>
  </w:style>
  <w:style w:type="paragraph" w:styleId="HTMLPreformatted">
    <w:name w:val="HTML Preformatted"/>
    <w:basedOn w:val="Normal"/>
    <w:link w:val="HTMLPreformattedChar"/>
    <w:uiPriority w:val="99"/>
    <w:semiHidden/>
    <w:unhideWhenUsed/>
    <w:rsid w:val="00E96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96482"/>
    <w:rPr>
      <w:rFonts w:ascii="Courier New" w:eastAsia="Times New Roman" w:hAnsi="Courier New" w:cs="Courier New"/>
      <w:sz w:val="20"/>
      <w:szCs w:val="20"/>
      <w:lang w:val="en-US"/>
    </w:rPr>
  </w:style>
  <w:style w:type="paragraph" w:styleId="Bibliography">
    <w:name w:val="Bibliography"/>
    <w:basedOn w:val="Normal"/>
    <w:next w:val="Normal"/>
    <w:uiPriority w:val="37"/>
    <w:unhideWhenUsed/>
    <w:rsid w:val="00E96482"/>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46540">
      <w:bodyDiv w:val="1"/>
      <w:marLeft w:val="0"/>
      <w:marRight w:val="0"/>
      <w:marTop w:val="0"/>
      <w:marBottom w:val="0"/>
      <w:divBdr>
        <w:top w:val="none" w:sz="0" w:space="0" w:color="auto"/>
        <w:left w:val="none" w:sz="0" w:space="0" w:color="auto"/>
        <w:bottom w:val="none" w:sz="0" w:space="0" w:color="auto"/>
        <w:right w:val="none" w:sz="0" w:space="0" w:color="auto"/>
      </w:divBdr>
      <w:divsChild>
        <w:div w:id="1628507447">
          <w:marLeft w:val="0"/>
          <w:marRight w:val="0"/>
          <w:marTop w:val="0"/>
          <w:marBottom w:val="0"/>
          <w:divBdr>
            <w:top w:val="none" w:sz="0" w:space="0" w:color="auto"/>
            <w:left w:val="none" w:sz="0" w:space="0" w:color="auto"/>
            <w:bottom w:val="none" w:sz="0" w:space="0" w:color="auto"/>
            <w:right w:val="none" w:sz="0" w:space="0" w:color="auto"/>
          </w:divBdr>
        </w:div>
      </w:divsChild>
    </w:div>
    <w:div w:id="138232629">
      <w:bodyDiv w:val="1"/>
      <w:marLeft w:val="0"/>
      <w:marRight w:val="0"/>
      <w:marTop w:val="0"/>
      <w:marBottom w:val="0"/>
      <w:divBdr>
        <w:top w:val="none" w:sz="0" w:space="0" w:color="auto"/>
        <w:left w:val="none" w:sz="0" w:space="0" w:color="auto"/>
        <w:bottom w:val="none" w:sz="0" w:space="0" w:color="auto"/>
        <w:right w:val="none" w:sz="0" w:space="0" w:color="auto"/>
      </w:divBdr>
      <w:divsChild>
        <w:div w:id="2116442972">
          <w:marLeft w:val="0"/>
          <w:marRight w:val="0"/>
          <w:marTop w:val="0"/>
          <w:marBottom w:val="0"/>
          <w:divBdr>
            <w:top w:val="none" w:sz="0" w:space="0" w:color="auto"/>
            <w:left w:val="none" w:sz="0" w:space="0" w:color="auto"/>
            <w:bottom w:val="none" w:sz="0" w:space="0" w:color="auto"/>
            <w:right w:val="none" w:sz="0" w:space="0" w:color="auto"/>
          </w:divBdr>
          <w:divsChild>
            <w:div w:id="377125112">
              <w:marLeft w:val="0"/>
              <w:marRight w:val="0"/>
              <w:marTop w:val="0"/>
              <w:marBottom w:val="0"/>
              <w:divBdr>
                <w:top w:val="none" w:sz="0" w:space="0" w:color="auto"/>
                <w:left w:val="none" w:sz="0" w:space="0" w:color="auto"/>
                <w:bottom w:val="none" w:sz="0" w:space="0" w:color="auto"/>
                <w:right w:val="none" w:sz="0" w:space="0" w:color="auto"/>
              </w:divBdr>
              <w:divsChild>
                <w:div w:id="117726555">
                  <w:marLeft w:val="0"/>
                  <w:marRight w:val="0"/>
                  <w:marTop w:val="0"/>
                  <w:marBottom w:val="0"/>
                  <w:divBdr>
                    <w:top w:val="none" w:sz="0" w:space="0" w:color="auto"/>
                    <w:left w:val="none" w:sz="0" w:space="0" w:color="auto"/>
                    <w:bottom w:val="none" w:sz="0" w:space="0" w:color="auto"/>
                    <w:right w:val="none" w:sz="0" w:space="0" w:color="auto"/>
                  </w:divBdr>
                  <w:divsChild>
                    <w:div w:id="12604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5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5683</Words>
  <Characters>32395</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ALTHAF HM</dc:creator>
  <cp:lastModifiedBy>ALTHAF HM</cp:lastModifiedBy>
  <cp:revision>2</cp:revision>
  <dcterms:created xsi:type="dcterms:W3CDTF">2019-12-01T03:08:00Z</dcterms:created>
  <dcterms:modified xsi:type="dcterms:W3CDTF">2019-12-01T03:08:00Z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zotero-version="5.0.74"&gt;&lt;session id="Xg6dCsya"/&gt;&lt;style id="http://www.zotero.org/styles/chicago-fullnote-bibliography" locale="id-ID" hasBibliography="1" bibliographyStyleHasBeenSet="1"/&gt;&lt;prefs&gt;&lt;pref name="fieldType" value="Field"/&gt;</vt:lpwstr>
  </property>
  <property fmtid="{D5CDD505-2E9C-101B-9397-08002B2CF9AE}" pid="3" name="ZOTERO_PREF_2">
    <vt:lpwstr>&lt;pref name="automaticJournalAbbreviations" value="true"/&gt;&lt;pref name="noteType" value="1"/&gt;&lt;/prefs&gt;&lt;/data&gt;</vt:lpwstr>
  </property>
</Properties>
</file>